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20048C" w14:textId="77777777" w:rsidR="0018338B" w:rsidRPr="0018338B" w:rsidRDefault="0018338B" w:rsidP="0018338B">
      <w:pPr>
        <w:bidi/>
        <w:rPr>
          <w:b/>
          <w:bCs/>
        </w:rPr>
      </w:pPr>
      <w:r w:rsidRPr="0018338B">
        <w:rPr>
          <w:b/>
          <w:bCs/>
          <w:rtl/>
        </w:rPr>
        <w:t>סקירת ספרות בתחומים המשיקים לכירורגיית ילדים</w:t>
      </w:r>
    </w:p>
    <w:p w14:paraId="795B51C3" w14:textId="77777777" w:rsidR="0018338B" w:rsidRPr="0018338B" w:rsidRDefault="0018338B" w:rsidP="0018338B">
      <w:pPr>
        <w:bidi/>
        <w:rPr>
          <w:b/>
          <w:bCs/>
        </w:rPr>
      </w:pPr>
      <w:r w:rsidRPr="0018338B">
        <w:rPr>
          <w:b/>
          <w:bCs/>
          <w:rtl/>
        </w:rPr>
        <w:t>השבוע של 4 בספטמבר 2026</w:t>
      </w:r>
    </w:p>
    <w:p w14:paraId="645F4780" w14:textId="2A9A8766" w:rsidR="0018338B" w:rsidRPr="0018338B" w:rsidRDefault="0018338B" w:rsidP="0018338B">
      <w:pPr>
        <w:bidi/>
      </w:pPr>
    </w:p>
    <w:p w14:paraId="3646E360" w14:textId="549B1973" w:rsidR="0018338B" w:rsidRPr="0018338B" w:rsidRDefault="0018338B" w:rsidP="0018338B">
      <w:pPr>
        <w:bidi/>
        <w:rPr>
          <w:b/>
          <w:bCs/>
        </w:rPr>
      </w:pPr>
      <w:proofErr w:type="spellStart"/>
      <w:r w:rsidRPr="0018338B">
        <w:rPr>
          <w:b/>
          <w:bCs/>
          <w:rtl/>
        </w:rPr>
        <w:t>ספסיס</w:t>
      </w:r>
      <w:proofErr w:type="spellEnd"/>
      <w:r w:rsidRPr="0018338B">
        <w:rPr>
          <w:b/>
          <w:bCs/>
          <w:rtl/>
        </w:rPr>
        <w:t xml:space="preserve"> </w:t>
      </w:r>
      <w:proofErr w:type="spellStart"/>
      <w:r w:rsidRPr="0018338B">
        <w:rPr>
          <w:b/>
          <w:bCs/>
          <w:rtl/>
        </w:rPr>
        <w:t>נאונטלי</w:t>
      </w:r>
      <w:proofErr w:type="spellEnd"/>
      <w:r w:rsidRPr="0018338B">
        <w:rPr>
          <w:b/>
          <w:bCs/>
          <w:rtl/>
        </w:rPr>
        <w:t xml:space="preserve"> עם תרביות שליליות: האם באמת צריך להשלים שבוע אנטיביוטיקה</w:t>
      </w:r>
      <w:r w:rsidRPr="0018338B">
        <w:rPr>
          <w:b/>
          <w:bCs/>
        </w:rPr>
        <w:t>?</w:t>
      </w:r>
    </w:p>
    <w:p w14:paraId="588DA69A" w14:textId="5174964E" w:rsidR="0018338B" w:rsidRPr="0018338B" w:rsidRDefault="0018338B" w:rsidP="0018338B">
      <w:pPr>
        <w:bidi/>
      </w:pPr>
      <w:r w:rsidRPr="0018338B">
        <w:rPr>
          <w:rtl/>
        </w:rPr>
        <w:t xml:space="preserve">המאמר פורסם בגיליון אוגוסט 2026 של </w:t>
      </w:r>
      <w:r w:rsidRPr="0018338B">
        <w:rPr>
          <w:i/>
          <w:iCs/>
        </w:rPr>
        <w:t>The Lancet Child &amp; Adolescent Health</w:t>
      </w:r>
      <w:r w:rsidRPr="0018338B">
        <w:t xml:space="preserve"> </w:t>
      </w:r>
      <w:r>
        <w:rPr>
          <w:rFonts w:hint="cs"/>
          <w:rtl/>
        </w:rPr>
        <w:t xml:space="preserve"> </w:t>
      </w:r>
      <w:r w:rsidRPr="0018338B">
        <w:rPr>
          <w:rtl/>
        </w:rPr>
        <w:t>על ידי</w:t>
      </w:r>
      <w:r w:rsidRPr="0018338B">
        <w:t xml:space="preserve"> Carlsen </w:t>
      </w:r>
      <w:r>
        <w:rPr>
          <w:rFonts w:hint="cs"/>
          <w:rtl/>
        </w:rPr>
        <w:t xml:space="preserve"> </w:t>
      </w:r>
      <w:r w:rsidRPr="0018338B">
        <w:rPr>
          <w:rtl/>
        </w:rPr>
        <w:t>ועמיתיו. כותרתו</w:t>
      </w:r>
      <w:r w:rsidRPr="0018338B">
        <w:t>:</w:t>
      </w:r>
    </w:p>
    <w:p w14:paraId="4D3D3BC9" w14:textId="77777777" w:rsidR="0018338B" w:rsidRPr="0018338B" w:rsidRDefault="0018338B" w:rsidP="0018338B">
      <w:pPr>
        <w:bidi/>
      </w:pPr>
      <w:r w:rsidRPr="0018338B">
        <w:rPr>
          <w:b/>
          <w:bCs/>
        </w:rPr>
        <w:t>Individualised duration of antibiotic treatment in culture-negative early-onset sepsis in late-preterm and term-born neonates in Denmark (DURATION): a multicentre, open-label, randomised, controlled, non-inferiority trial.</w:t>
      </w:r>
    </w:p>
    <w:p w14:paraId="412B5FB1" w14:textId="70F82F54" w:rsidR="0018338B" w:rsidRPr="0018338B" w:rsidRDefault="0018338B" w:rsidP="0018338B">
      <w:pPr>
        <w:bidi/>
      </w:pPr>
      <w:r w:rsidRPr="0018338B">
        <w:rPr>
          <w:rtl/>
        </w:rPr>
        <w:t>הציטוט המלא</w:t>
      </w:r>
      <w:r w:rsidRPr="0018338B">
        <w:t>:</w:t>
      </w:r>
      <w:r w:rsidRPr="0018338B">
        <w:br/>
        <w:t xml:space="preserve">Carlsen EM, Dungu KHS, Lindhard MS, et al. </w:t>
      </w:r>
      <w:r w:rsidRPr="0018338B">
        <w:rPr>
          <w:i/>
          <w:iCs/>
        </w:rPr>
        <w:t>Lancet Child Adolesc Health.</w:t>
      </w:r>
      <w:r w:rsidRPr="0018338B">
        <w:t xml:space="preserve"> 2026;10:573–</w:t>
      </w:r>
      <w:r>
        <w:rPr>
          <w:rFonts w:hint="cs"/>
          <w:rtl/>
        </w:rPr>
        <w:t xml:space="preserve">   </w:t>
      </w:r>
      <w:r w:rsidRPr="0018338B">
        <w:t xml:space="preserve">583. doi:10.1016/S2352-4642(26)00118-5. </w:t>
      </w:r>
      <w:r w:rsidRPr="0018338B">
        <w:fldChar w:fldCharType="begin"/>
      </w:r>
      <w:r w:rsidRPr="0018338B">
        <w:instrText>HYPERLINK "https://pure.au.dk/portal/en/publications/individualised-duration-of-antibiotic-treatment-in-culture-negati/?utm_source=chatgpt.com" \t "_new"</w:instrText>
      </w:r>
      <w:r w:rsidRPr="0018338B">
        <w:fldChar w:fldCharType="separate"/>
      </w:r>
      <w:r w:rsidRPr="0018338B">
        <w:rPr>
          <w:rStyle w:val="Hyperlink"/>
          <w:rtl/>
        </w:rPr>
        <w:t>קישור למאמר</w:t>
      </w:r>
      <w:r w:rsidRPr="0018338B">
        <w:fldChar w:fldCharType="end"/>
      </w:r>
    </w:p>
    <w:p w14:paraId="3802E2B1" w14:textId="77777777" w:rsidR="0018338B" w:rsidRPr="0018338B" w:rsidRDefault="0018338B" w:rsidP="0018338B">
      <w:pPr>
        <w:bidi/>
        <w:rPr>
          <w:b/>
          <w:bCs/>
        </w:rPr>
      </w:pPr>
      <w:r w:rsidRPr="0018338B">
        <w:rPr>
          <w:b/>
          <w:bCs/>
          <w:rtl/>
        </w:rPr>
        <w:t>מה היה הרקע</w:t>
      </w:r>
      <w:r w:rsidRPr="0018338B">
        <w:rPr>
          <w:b/>
          <w:bCs/>
        </w:rPr>
        <w:t>?</w:t>
      </w:r>
    </w:p>
    <w:p w14:paraId="61BF6E86" w14:textId="3C6C0EF5" w:rsidR="0018338B" w:rsidRPr="0018338B" w:rsidRDefault="0018338B" w:rsidP="0018338B">
      <w:pPr>
        <w:bidi/>
      </w:pPr>
      <w:r w:rsidRPr="0018338B">
        <w:rPr>
          <w:rtl/>
        </w:rPr>
        <w:t>חשד ל־</w:t>
      </w:r>
      <w:r w:rsidRPr="0018338B">
        <w:t xml:space="preserve">early-onset sepsis </w:t>
      </w:r>
      <w:r>
        <w:rPr>
          <w:rFonts w:hint="cs"/>
          <w:rtl/>
        </w:rPr>
        <w:t xml:space="preserve"> </w:t>
      </w:r>
      <w:r w:rsidRPr="0018338B">
        <w:rPr>
          <w:rtl/>
        </w:rPr>
        <w:t>הוא אחת הסיבות השכיחות ביותר להתחלת טיפול אנטיביוטי בימים הראשונים לחיים. לעיתים קיימים סימנים קליניים אצל התינוק, לעיתים גורמי סיכון אימהיים, ולעיתים עלייה ב־</w:t>
      </w:r>
      <w:r w:rsidRPr="0018338B">
        <w:t xml:space="preserve">CRP </w:t>
      </w:r>
      <w:r>
        <w:rPr>
          <w:rFonts w:hint="cs"/>
          <w:rtl/>
        </w:rPr>
        <w:t xml:space="preserve"> </w:t>
      </w:r>
      <w:r w:rsidRPr="0018338B">
        <w:rPr>
          <w:rtl/>
        </w:rPr>
        <w:t xml:space="preserve">או במדדים דלקתיים אחרים. עם זאת, במרבית התינוקות שמתחילים טיפול בשל חשד </w:t>
      </w:r>
      <w:proofErr w:type="spellStart"/>
      <w:r w:rsidRPr="0018338B">
        <w:rPr>
          <w:rtl/>
        </w:rPr>
        <w:t>לספסיס</w:t>
      </w:r>
      <w:proofErr w:type="spellEnd"/>
      <w:r w:rsidRPr="0018338B">
        <w:rPr>
          <w:rtl/>
        </w:rPr>
        <w:t>, תרביות הדם נשארות שליליות</w:t>
      </w:r>
      <w:r w:rsidRPr="0018338B">
        <w:t>.</w:t>
      </w:r>
    </w:p>
    <w:p w14:paraId="07FFFCCD" w14:textId="1886A173" w:rsidR="0018338B" w:rsidRPr="0018338B" w:rsidRDefault="0018338B" w:rsidP="0018338B">
      <w:pPr>
        <w:bidi/>
      </w:pPr>
      <w:r w:rsidRPr="0018338B">
        <w:rPr>
          <w:rtl/>
        </w:rPr>
        <w:t>כאשר התינוק נראה בריא, התרביות שליליות ומדדי הדלקת תקינים, קל יחסית להפסיק את הטיפול לאחר 36–48 שעות. הקושי מתעורר כאשר התינוק היה סימפטומטי בתחילת הדרך או כאשר ה־</w:t>
      </w:r>
      <w:r w:rsidRPr="0018338B">
        <w:t xml:space="preserve">CRP </w:t>
      </w:r>
      <w:r w:rsidRPr="0018338B">
        <w:rPr>
          <w:rtl/>
        </w:rPr>
        <w:t>היה מוגבר. במצבים כאלה מקובל לעיתים להגדיר את האירוע כ־</w:t>
      </w:r>
      <w:r w:rsidRPr="0018338B">
        <w:t xml:space="preserve">probable sepsis </w:t>
      </w:r>
      <w:r>
        <w:rPr>
          <w:rFonts w:hint="cs"/>
          <w:rtl/>
        </w:rPr>
        <w:t xml:space="preserve"> </w:t>
      </w:r>
      <w:r w:rsidRPr="0018338B">
        <w:rPr>
          <w:rtl/>
        </w:rPr>
        <w:t>ולהשלים חמישה עד שבעה ימי אנטיביוטיקה, גם אם התינוק כבר התאושש ואין הוכחה מיקרוביולוגית לזיהום</w:t>
      </w:r>
      <w:r w:rsidRPr="0018338B">
        <w:t>.</w:t>
      </w:r>
    </w:p>
    <w:p w14:paraId="0291EA17" w14:textId="7FEC8773" w:rsidR="0018338B" w:rsidRPr="0018338B" w:rsidRDefault="0018338B" w:rsidP="0018338B">
      <w:pPr>
        <w:bidi/>
      </w:pPr>
      <w:r w:rsidRPr="0018338B">
        <w:rPr>
          <w:rtl/>
        </w:rPr>
        <w:t xml:space="preserve">להמשך טיפול כזה עלול להיות מחיר: שינוי </w:t>
      </w:r>
      <w:proofErr w:type="spellStart"/>
      <w:r w:rsidRPr="0018338B">
        <w:rPr>
          <w:rtl/>
        </w:rPr>
        <w:t>המיקרוביום</w:t>
      </w:r>
      <w:proofErr w:type="spellEnd"/>
      <w:r w:rsidRPr="0018338B">
        <w:rPr>
          <w:rtl/>
        </w:rPr>
        <w:t>, עידוד עמידות חיידקית, הארכת האשפוז, צורך בגישה ורידית ולעיתים ביצוע בדיקות נוספות. בפגים וביילודים בסיכון תואר גם קשר בין חשיפה אנטיביוטית ממושכת לבין</w:t>
      </w:r>
      <w:r w:rsidRPr="0018338B">
        <w:t xml:space="preserve"> NEC </w:t>
      </w:r>
      <w:r w:rsidRPr="0018338B">
        <w:rPr>
          <w:rtl/>
        </w:rPr>
        <w:t>זיהומים מאוחרים ותוצאות פחות טובות, אף שקשה להפריד בין השפעת האנטיביוטיקה לבין חומרת מצבם הבסיסי של התינוקות</w:t>
      </w:r>
      <w:r w:rsidRPr="0018338B">
        <w:t>.</w:t>
      </w:r>
    </w:p>
    <w:p w14:paraId="32CE2EE0" w14:textId="77777777" w:rsidR="0018338B" w:rsidRPr="0018338B" w:rsidRDefault="0018338B" w:rsidP="0018338B">
      <w:pPr>
        <w:bidi/>
        <w:rPr>
          <w:b/>
          <w:bCs/>
        </w:rPr>
      </w:pPr>
      <w:r w:rsidRPr="0018338B">
        <w:rPr>
          <w:b/>
          <w:bCs/>
          <w:rtl/>
        </w:rPr>
        <w:t>מה המחקר בדק</w:t>
      </w:r>
      <w:r w:rsidRPr="0018338B">
        <w:rPr>
          <w:b/>
          <w:bCs/>
        </w:rPr>
        <w:t>?</w:t>
      </w:r>
    </w:p>
    <w:p w14:paraId="2AE91BE6" w14:textId="77777777" w:rsidR="0018338B" w:rsidRPr="0018338B" w:rsidRDefault="0018338B" w:rsidP="0018338B">
      <w:pPr>
        <w:bidi/>
      </w:pPr>
      <w:r w:rsidRPr="0018338B">
        <w:rPr>
          <w:rtl/>
        </w:rPr>
        <w:t xml:space="preserve">זה היה מחקר אקראי, </w:t>
      </w:r>
      <w:proofErr w:type="spellStart"/>
      <w:r w:rsidRPr="0018338B">
        <w:rPr>
          <w:rtl/>
        </w:rPr>
        <w:t>רב־מרכזי</w:t>
      </w:r>
      <w:proofErr w:type="spellEnd"/>
      <w:r w:rsidRPr="0018338B">
        <w:rPr>
          <w:rtl/>
        </w:rPr>
        <w:t>, פתוח, שנערך בדנמרק. נכללו 493 תינוקות שנולדו בשבוע 35 ומעלה, שקלו לפחות 2,000 גרם והוגדרו כסובלים מ־</w:t>
      </w:r>
      <w:r w:rsidRPr="0018338B">
        <w:t>probable culture-negative early-onset sepsis.</w:t>
      </w:r>
    </w:p>
    <w:p w14:paraId="4BE00CD6" w14:textId="77777777" w:rsidR="0018338B" w:rsidRPr="0018338B" w:rsidRDefault="0018338B" w:rsidP="0018338B">
      <w:pPr>
        <w:bidi/>
      </w:pPr>
      <w:r w:rsidRPr="0018338B">
        <w:rPr>
          <w:rtl/>
        </w:rPr>
        <w:t>כלומר, לא נכללו תינוקות שבהם ניתן היה להפסיק אנטיביוטיקה בבטחה כבר לאחר 36–48 שעות. המחקר התמקד דווקא בתינוקות שבהם הצוות המטפל היה ממשיך בדרך כלל את הטיפול בגלל סימנים קליניים, גורמי סיכון או</w:t>
      </w:r>
      <w:r w:rsidRPr="0018338B">
        <w:t xml:space="preserve"> CRP </w:t>
      </w:r>
      <w:r w:rsidRPr="0018338B">
        <w:rPr>
          <w:rtl/>
        </w:rPr>
        <w:t>מוגבר, למרות התרביות השליליות</w:t>
      </w:r>
      <w:r w:rsidRPr="0018338B">
        <w:t>.</w:t>
      </w:r>
    </w:p>
    <w:p w14:paraId="6D59561D" w14:textId="30153C57" w:rsidR="0018338B" w:rsidRPr="0018338B" w:rsidRDefault="0018338B" w:rsidP="0018338B">
      <w:pPr>
        <w:bidi/>
      </w:pPr>
      <w:r w:rsidRPr="0018338B">
        <w:rPr>
          <w:rtl/>
        </w:rPr>
        <w:t xml:space="preserve">התינוקות חולקו באקראי לשתי קבוצות. בקבוצת הטיפול המקובל ניתנה אנטיביוטיקה במשך חמישה עד שבעה ימים. בקבוצה האינדיבידואלית ניתן היה להפסיק את הטיפול לאחר שהתינוק היה ללא </w:t>
      </w:r>
      <w:r w:rsidRPr="0018338B">
        <w:rPr>
          <w:rtl/>
        </w:rPr>
        <w:lastRenderedPageBreak/>
        <w:t>סימנים קליניים של זיהום במשך 24 שעות, בתנאי שה־</w:t>
      </w:r>
      <w:r w:rsidRPr="0018338B">
        <w:t xml:space="preserve">CRP </w:t>
      </w:r>
      <w:r>
        <w:rPr>
          <w:rFonts w:hint="cs"/>
          <w:rtl/>
        </w:rPr>
        <w:t xml:space="preserve"> </w:t>
      </w:r>
      <w:r w:rsidRPr="0018338B">
        <w:rPr>
          <w:rtl/>
        </w:rPr>
        <w:t>היה במגמת ירידה והגיע לערך של 30 מ״ג לליטר או פחות</w:t>
      </w:r>
      <w:r w:rsidRPr="0018338B">
        <w:t>.</w:t>
      </w:r>
    </w:p>
    <w:p w14:paraId="174997B7" w14:textId="77777777" w:rsidR="0018338B" w:rsidRPr="0018338B" w:rsidRDefault="0018338B" w:rsidP="0018338B">
      <w:pPr>
        <w:bidi/>
      </w:pPr>
      <w:r w:rsidRPr="0018338B">
        <w:rPr>
          <w:rtl/>
        </w:rPr>
        <w:t>התוצא הבטיחותי העיקרי היה אשפוז חוזר בשל זיהום חיידקי. במקביל נבדק משך החשיפה הכולל לאנטיביוטיקה במהלך 28 הימים הראשונים</w:t>
      </w:r>
      <w:r w:rsidRPr="0018338B">
        <w:t>.</w:t>
      </w:r>
    </w:p>
    <w:p w14:paraId="7D4E00A6" w14:textId="77777777" w:rsidR="0018338B" w:rsidRPr="0018338B" w:rsidRDefault="0018338B" w:rsidP="0018338B">
      <w:pPr>
        <w:bidi/>
        <w:rPr>
          <w:b/>
          <w:bCs/>
        </w:rPr>
      </w:pPr>
      <w:r w:rsidRPr="0018338B">
        <w:rPr>
          <w:b/>
          <w:bCs/>
          <w:rtl/>
        </w:rPr>
        <w:t>מה היו התוצאות</w:t>
      </w:r>
      <w:r w:rsidRPr="0018338B">
        <w:rPr>
          <w:b/>
          <w:bCs/>
        </w:rPr>
        <w:t>?</w:t>
      </w:r>
    </w:p>
    <w:p w14:paraId="347BD0D9" w14:textId="77777777" w:rsidR="0018338B" w:rsidRPr="0018338B" w:rsidRDefault="0018338B" w:rsidP="0018338B">
      <w:pPr>
        <w:bidi/>
      </w:pPr>
      <w:r w:rsidRPr="0018338B">
        <w:rPr>
          <w:rtl/>
        </w:rPr>
        <w:t>בקבוצת הטיפול האינדיבידואלי אושפזו מחדש בשל זיהום שני תינוקות מתוך 246, לעומת תינוק אחד מתוך 247 בקבוצת הטיפול המקובל. מדובר בשיעור של פחות מאחוז אחד בשתי הקבוצות</w:t>
      </w:r>
      <w:r w:rsidRPr="0018338B">
        <w:t>.</w:t>
      </w:r>
    </w:p>
    <w:p w14:paraId="0D07E7EE" w14:textId="77777777" w:rsidR="0018338B" w:rsidRPr="0018338B" w:rsidRDefault="0018338B" w:rsidP="0018338B">
      <w:pPr>
        <w:bidi/>
      </w:pPr>
      <w:r w:rsidRPr="0018338B">
        <w:rPr>
          <w:rtl/>
        </w:rPr>
        <w:t xml:space="preserve">הפרש הסיכון היה 0.4%, ורווח הסמך נע בין ירידה של 1.5% לבין עלייה של 2.6%. התוצאה עמדה בהגדרת המחקר </w:t>
      </w:r>
      <w:proofErr w:type="spellStart"/>
      <w:r w:rsidRPr="0018338B">
        <w:rPr>
          <w:rtl/>
        </w:rPr>
        <w:t>לאי־נחיתות</w:t>
      </w:r>
      <w:proofErr w:type="spellEnd"/>
      <w:r w:rsidRPr="0018338B">
        <w:rPr>
          <w:rtl/>
        </w:rPr>
        <w:t>, כלומר לא נמצאה עדות לכך שהאסטרטגיה המקוצרת הייתה מסוכנת יותר במידה שהוגדרה מראש כמשמעותית</w:t>
      </w:r>
      <w:r w:rsidRPr="0018338B">
        <w:t>.</w:t>
      </w:r>
    </w:p>
    <w:p w14:paraId="035959CD" w14:textId="77777777" w:rsidR="0018338B" w:rsidRPr="0018338B" w:rsidRDefault="0018338B" w:rsidP="0018338B">
      <w:pPr>
        <w:bidi/>
      </w:pPr>
      <w:r w:rsidRPr="0018338B">
        <w:rPr>
          <w:rtl/>
        </w:rPr>
        <w:t>לעומת זאת, ההפחתה בחשיפה לאנטיביוטיקה הייתה ניכרת. משך הטיפול החציוני היה 2.8 ימים בקבוצה האינדיבידואלית, לעומת 6.8 ימים בקבוצת הטיפול המקובל. כלומר, נחסכו כארבעה ימי אנטיביוטיקה לכל תינוק</w:t>
      </w:r>
      <w:r w:rsidRPr="0018338B">
        <w:t>.</w:t>
      </w:r>
    </w:p>
    <w:p w14:paraId="15D6B3C4" w14:textId="77777777" w:rsidR="0018338B" w:rsidRPr="0018338B" w:rsidRDefault="0018338B" w:rsidP="0018338B">
      <w:pPr>
        <w:bidi/>
      </w:pPr>
      <w:r w:rsidRPr="0018338B">
        <w:rPr>
          <w:rtl/>
        </w:rPr>
        <w:t>לא אירעו אירועים חמורים בקבוצת הטיפול המקוצר, לעומת אירוע אחד בקבוצת הטיפול המקובל</w:t>
      </w:r>
      <w:r w:rsidRPr="0018338B">
        <w:t>.</w:t>
      </w:r>
    </w:p>
    <w:p w14:paraId="68BB12B5" w14:textId="77777777" w:rsidR="0018338B" w:rsidRPr="0018338B" w:rsidRDefault="0018338B" w:rsidP="0018338B">
      <w:pPr>
        <w:bidi/>
        <w:rPr>
          <w:b/>
          <w:bCs/>
        </w:rPr>
      </w:pPr>
      <w:r w:rsidRPr="0018338B">
        <w:rPr>
          <w:b/>
          <w:bCs/>
          <w:rtl/>
        </w:rPr>
        <w:t>ה־</w:t>
      </w:r>
      <w:r w:rsidRPr="0018338B">
        <w:rPr>
          <w:b/>
          <w:bCs/>
        </w:rPr>
        <w:t>Take-home message</w:t>
      </w:r>
    </w:p>
    <w:p w14:paraId="6BC9A5E8" w14:textId="3AA3B948" w:rsidR="0018338B" w:rsidRPr="0018338B" w:rsidRDefault="0018338B" w:rsidP="0018338B">
      <w:pPr>
        <w:bidi/>
      </w:pPr>
      <w:r w:rsidRPr="0018338B">
        <w:rPr>
          <w:b/>
          <w:bCs/>
          <w:rtl/>
        </w:rPr>
        <w:t>בתינוק שנולד בשבוע 35 ומעלה, עם תרביות שליליות, שיפור קליני ברור ו־</w:t>
      </w:r>
      <w:r w:rsidRPr="0018338B">
        <w:rPr>
          <w:b/>
          <w:bCs/>
        </w:rPr>
        <w:t xml:space="preserve">CRP </w:t>
      </w:r>
      <w:r w:rsidR="00653540">
        <w:rPr>
          <w:rFonts w:hint="cs"/>
          <w:b/>
          <w:bCs/>
          <w:rtl/>
        </w:rPr>
        <w:t xml:space="preserve"> </w:t>
      </w:r>
      <w:r w:rsidRPr="0018338B">
        <w:rPr>
          <w:b/>
          <w:bCs/>
          <w:rtl/>
        </w:rPr>
        <w:t>שנמצא במגמת ירידה, אין הכרח להשלים אוטומטית חמישה עד שבעה ימי אנטיביוטיקה רק משום שבתחילת הדרך הוגדר האירוע כ־</w:t>
      </w:r>
      <w:r w:rsidRPr="0018338B">
        <w:rPr>
          <w:b/>
          <w:bCs/>
        </w:rPr>
        <w:t>probable sepsis</w:t>
      </w:r>
    </w:p>
    <w:p w14:paraId="31EEB4A9" w14:textId="77777777" w:rsidR="0018338B" w:rsidRPr="0018338B" w:rsidRDefault="0018338B" w:rsidP="0018338B">
      <w:pPr>
        <w:bidi/>
      </w:pPr>
      <w:r w:rsidRPr="0018338B">
        <w:rPr>
          <w:rtl/>
        </w:rPr>
        <w:t>המחקר אינו מציע להפסיק טיפול על סמך תרבית שלילית בלבד. מדובר באסטרטגיה משולבת המבוססת על שיפור קליני מתמשך ועל מגמת ה־</w:t>
      </w:r>
      <w:r w:rsidRPr="0018338B">
        <w:t>CRP.</w:t>
      </w:r>
    </w:p>
    <w:p w14:paraId="2D958925" w14:textId="77777777" w:rsidR="0018338B" w:rsidRPr="0018338B" w:rsidRDefault="0018338B" w:rsidP="0018338B">
      <w:pPr>
        <w:bidi/>
        <w:rPr>
          <w:b/>
          <w:bCs/>
        </w:rPr>
      </w:pPr>
      <w:r w:rsidRPr="0018338B">
        <w:rPr>
          <w:b/>
          <w:bCs/>
          <w:rtl/>
        </w:rPr>
        <w:t>חוזק הראיות והמגבלה העיקרית</w:t>
      </w:r>
    </w:p>
    <w:p w14:paraId="5CBB0A6F" w14:textId="77777777" w:rsidR="0018338B" w:rsidRPr="0018338B" w:rsidRDefault="0018338B" w:rsidP="0018338B">
      <w:pPr>
        <w:bidi/>
      </w:pPr>
      <w:r w:rsidRPr="0018338B">
        <w:rPr>
          <w:rtl/>
        </w:rPr>
        <w:t xml:space="preserve">חוזק המחקר הוא בתכנון האקראי, </w:t>
      </w:r>
      <w:proofErr w:type="spellStart"/>
      <w:r w:rsidRPr="0018338B">
        <w:rPr>
          <w:rtl/>
        </w:rPr>
        <w:t>הרב־מרכזי</w:t>
      </w:r>
      <w:proofErr w:type="spellEnd"/>
      <w:r w:rsidRPr="0018338B">
        <w:rPr>
          <w:rtl/>
        </w:rPr>
        <w:t xml:space="preserve"> ובבחינת אסטרטגיית הפסקה מוגדרת מראש. עם זאת, רק שלושה תינוקות בכל המחקר אושפזו מחדש בשל זיהום. לכן יכולת המחקר לזהות הבדלים קטנים בסיבוכים נדירים ומסוכנים מוגבלת</w:t>
      </w:r>
      <w:r w:rsidRPr="0018338B">
        <w:t>.</w:t>
      </w:r>
    </w:p>
    <w:p w14:paraId="0E8C34CC" w14:textId="77777777" w:rsidR="0018338B" w:rsidRPr="0018338B" w:rsidRDefault="0018338B" w:rsidP="0018338B">
      <w:pPr>
        <w:bidi/>
      </w:pPr>
      <w:r w:rsidRPr="0018338B">
        <w:rPr>
          <w:rtl/>
        </w:rPr>
        <w:t>בנוסף, נכללו רק תינוקות בשבוע 35 ומעלה ובמשקל 2,000 גרם לפחות. אין להסיק מהמחקר לגבי פגים קיצוניים, תינוקות לאחר ניתוח</w:t>
      </w:r>
      <w:r w:rsidRPr="0018338B">
        <w:t xml:space="preserve">, NEC, </w:t>
      </w:r>
      <w:r w:rsidRPr="0018338B">
        <w:rPr>
          <w:rtl/>
        </w:rPr>
        <w:t xml:space="preserve">דלקת צפק, תרבית חיובית, זיהום הקשור </w:t>
      </w:r>
      <w:proofErr w:type="spellStart"/>
      <w:r w:rsidRPr="0018338B">
        <w:rPr>
          <w:rtl/>
        </w:rPr>
        <w:t>לקטטר</w:t>
      </w:r>
      <w:proofErr w:type="spellEnd"/>
      <w:r w:rsidRPr="0018338B">
        <w:rPr>
          <w:rtl/>
        </w:rPr>
        <w:t xml:space="preserve"> או תינוקות עם מומים מורכבים. המחקר תומך בפרוטוקול מסוים באוכלוסייה מוגדרת, ולא בכלל גורף של “שלושה ימי אנטיביוטיקה</w:t>
      </w:r>
      <w:r w:rsidRPr="0018338B">
        <w:t>”.</w:t>
      </w:r>
    </w:p>
    <w:p w14:paraId="33D21BE0" w14:textId="77777777" w:rsidR="0018338B" w:rsidRPr="0018338B" w:rsidRDefault="0018338B" w:rsidP="0018338B">
      <w:pPr>
        <w:bidi/>
        <w:rPr>
          <w:b/>
          <w:bCs/>
        </w:rPr>
      </w:pPr>
      <w:r w:rsidRPr="0018338B">
        <w:rPr>
          <w:b/>
          <w:bCs/>
          <w:rtl/>
        </w:rPr>
        <w:t>איך לקחת את זה הלאה</w:t>
      </w:r>
      <w:r w:rsidRPr="0018338B">
        <w:rPr>
          <w:b/>
          <w:bCs/>
        </w:rPr>
        <w:t>?</w:t>
      </w:r>
    </w:p>
    <w:p w14:paraId="1E8428D5" w14:textId="77777777" w:rsidR="0018338B" w:rsidRPr="0018338B" w:rsidRDefault="0018338B" w:rsidP="0018338B">
      <w:pPr>
        <w:numPr>
          <w:ilvl w:val="0"/>
          <w:numId w:val="1"/>
        </w:numPr>
        <w:bidi/>
      </w:pPr>
      <w:r w:rsidRPr="0018338B">
        <w:rPr>
          <w:rtl/>
        </w:rPr>
        <w:t>לבדוק אם קיימים קריטריונים מחלקתיים ברורים להפסקת טיפול כאשר התרביות שליליות</w:t>
      </w:r>
      <w:r w:rsidRPr="0018338B">
        <w:t xml:space="preserve">. </w:t>
      </w:r>
    </w:p>
    <w:p w14:paraId="4F1F3FA8" w14:textId="77777777" w:rsidR="0018338B" w:rsidRPr="0018338B" w:rsidRDefault="0018338B" w:rsidP="0018338B">
      <w:pPr>
        <w:numPr>
          <w:ilvl w:val="0"/>
          <w:numId w:val="1"/>
        </w:numPr>
        <w:bidi/>
      </w:pPr>
      <w:r w:rsidRPr="0018338B">
        <w:rPr>
          <w:rtl/>
        </w:rPr>
        <w:t xml:space="preserve">להבחין בין חשד </w:t>
      </w:r>
      <w:proofErr w:type="spellStart"/>
      <w:r w:rsidRPr="0018338B">
        <w:rPr>
          <w:rtl/>
        </w:rPr>
        <w:t>לספסיס</w:t>
      </w:r>
      <w:proofErr w:type="spellEnd"/>
      <w:r w:rsidRPr="0018338B">
        <w:rPr>
          <w:rtl/>
        </w:rPr>
        <w:t xml:space="preserve"> בקבלה לבין עדות לזיהום פעיל לאחר 48–72 שעות</w:t>
      </w:r>
      <w:r w:rsidRPr="0018338B">
        <w:t xml:space="preserve">. </w:t>
      </w:r>
    </w:p>
    <w:p w14:paraId="7CD9E66C" w14:textId="77777777" w:rsidR="0018338B" w:rsidRPr="0018338B" w:rsidRDefault="0018338B" w:rsidP="0018338B">
      <w:pPr>
        <w:numPr>
          <w:ilvl w:val="0"/>
          <w:numId w:val="1"/>
        </w:numPr>
        <w:bidi/>
      </w:pPr>
      <w:r w:rsidRPr="0018338B">
        <w:rPr>
          <w:rtl/>
        </w:rPr>
        <w:t>לבחון מחקר פרוספקטיבי מקביל באוכלוסיית היילודים הכירורגיים</w:t>
      </w:r>
      <w:r w:rsidRPr="0018338B">
        <w:t xml:space="preserve">. </w:t>
      </w:r>
    </w:p>
    <w:p w14:paraId="4E69A7A2" w14:textId="3607D699" w:rsidR="0018338B" w:rsidRPr="0018338B" w:rsidRDefault="0018338B" w:rsidP="0018338B">
      <w:pPr>
        <w:bidi/>
      </w:pPr>
    </w:p>
    <w:p w14:paraId="4650C8FE" w14:textId="65C08472" w:rsidR="0018338B" w:rsidRPr="0018338B" w:rsidRDefault="0018338B" w:rsidP="0018338B">
      <w:pPr>
        <w:bidi/>
        <w:rPr>
          <w:b/>
          <w:bCs/>
        </w:rPr>
      </w:pPr>
      <w:proofErr w:type="spellStart"/>
      <w:r w:rsidRPr="0018338B">
        <w:rPr>
          <w:b/>
          <w:bCs/>
          <w:rtl/>
        </w:rPr>
        <w:lastRenderedPageBreak/>
        <w:t>פרוביוטיקה</w:t>
      </w:r>
      <w:proofErr w:type="spellEnd"/>
      <w:r w:rsidRPr="0018338B">
        <w:rPr>
          <w:b/>
          <w:bCs/>
          <w:rtl/>
        </w:rPr>
        <w:t xml:space="preserve"> ומניעת</w:t>
      </w:r>
      <w:r w:rsidRPr="0018338B">
        <w:rPr>
          <w:b/>
          <w:bCs/>
        </w:rPr>
        <w:t xml:space="preserve"> NEC: </w:t>
      </w:r>
      <w:r w:rsidRPr="0018338B">
        <w:rPr>
          <w:b/>
          <w:bCs/>
          <w:rtl/>
        </w:rPr>
        <w:t>ירידה מ־12% ל־5% לאחר הכנסת פרוטוקול שגרתי</w:t>
      </w:r>
    </w:p>
    <w:p w14:paraId="243B9BA1" w14:textId="6A7EAA17" w:rsidR="0018338B" w:rsidRPr="0018338B" w:rsidRDefault="0018338B" w:rsidP="0018338B">
      <w:pPr>
        <w:bidi/>
      </w:pPr>
      <w:r w:rsidRPr="0018338B">
        <w:rPr>
          <w:rtl/>
        </w:rPr>
        <w:t>המאמר פורסם ב־31 באוגוסט 2026 ב־</w:t>
      </w:r>
      <w:r w:rsidRPr="0018338B">
        <w:rPr>
          <w:i/>
          <w:iCs/>
        </w:rPr>
        <w:t>JAMA Network Open</w:t>
      </w:r>
      <w:r w:rsidRPr="0018338B">
        <w:t xml:space="preserve"> </w:t>
      </w:r>
      <w:r w:rsidR="00653540">
        <w:rPr>
          <w:rFonts w:hint="cs"/>
          <w:rtl/>
        </w:rPr>
        <w:t xml:space="preserve"> </w:t>
      </w:r>
      <w:r w:rsidRPr="0018338B">
        <w:rPr>
          <w:rtl/>
        </w:rPr>
        <w:t>על ידי</w:t>
      </w:r>
      <w:r w:rsidRPr="0018338B">
        <w:t xml:space="preserve"> Imren </w:t>
      </w:r>
      <w:r w:rsidRPr="0018338B">
        <w:rPr>
          <w:rtl/>
        </w:rPr>
        <w:t>ועמיתיו. כותרתו</w:t>
      </w:r>
      <w:r w:rsidRPr="0018338B">
        <w:t>:</w:t>
      </w:r>
    </w:p>
    <w:p w14:paraId="1DCE43C9" w14:textId="77777777" w:rsidR="0018338B" w:rsidRPr="0018338B" w:rsidRDefault="0018338B" w:rsidP="0018338B">
      <w:pPr>
        <w:bidi/>
      </w:pPr>
      <w:r w:rsidRPr="0018338B">
        <w:rPr>
          <w:b/>
          <w:bCs/>
        </w:rPr>
        <w:t>Probiotic Implementation and Necrotizing Enterocolitis Risk in Preterm Infants.</w:t>
      </w:r>
    </w:p>
    <w:p w14:paraId="0D0B36C3" w14:textId="77777777" w:rsidR="0018338B" w:rsidRPr="0018338B" w:rsidRDefault="0018338B" w:rsidP="0018338B">
      <w:pPr>
        <w:bidi/>
      </w:pPr>
      <w:r w:rsidRPr="0018338B">
        <w:rPr>
          <w:rtl/>
        </w:rPr>
        <w:t>הציטוט המלא</w:t>
      </w:r>
      <w:r w:rsidRPr="0018338B">
        <w:t>:</w:t>
      </w:r>
      <w:r w:rsidRPr="0018338B">
        <w:br/>
        <w:t xml:space="preserve">Imren C, Jongejans V, Onland W, et al. </w:t>
      </w:r>
      <w:r w:rsidRPr="0018338B">
        <w:rPr>
          <w:i/>
          <w:iCs/>
        </w:rPr>
        <w:t>JAMA Netw Open.</w:t>
      </w:r>
      <w:r w:rsidRPr="0018338B">
        <w:t xml:space="preserve"> 2026;9:e2631601. doi:10.1001/jamanetworkopen.2026.31601. </w:t>
      </w:r>
      <w:r w:rsidRPr="0018338B">
        <w:fldChar w:fldCharType="begin"/>
      </w:r>
      <w:r w:rsidRPr="0018338B">
        <w:instrText>HYPERLINK "https://jamanetwork.com/journals/jamanetworkopen/fullarticle/2853464?utm_source=chatgpt.com" \t "_new"</w:instrText>
      </w:r>
      <w:r w:rsidRPr="0018338B">
        <w:fldChar w:fldCharType="separate"/>
      </w:r>
      <w:r w:rsidRPr="0018338B">
        <w:rPr>
          <w:rStyle w:val="Hyperlink"/>
          <w:rtl/>
        </w:rPr>
        <w:t>המאמר המלא בגישה פתוחה</w:t>
      </w:r>
      <w:r w:rsidRPr="0018338B">
        <w:fldChar w:fldCharType="end"/>
      </w:r>
    </w:p>
    <w:p w14:paraId="024087EC" w14:textId="77777777" w:rsidR="0018338B" w:rsidRPr="0018338B" w:rsidRDefault="0018338B" w:rsidP="0018338B">
      <w:pPr>
        <w:bidi/>
        <w:rPr>
          <w:b/>
          <w:bCs/>
        </w:rPr>
      </w:pPr>
      <w:r w:rsidRPr="0018338B">
        <w:rPr>
          <w:b/>
          <w:bCs/>
          <w:rtl/>
        </w:rPr>
        <w:t>מה היה הרקע</w:t>
      </w:r>
      <w:r w:rsidRPr="0018338B">
        <w:rPr>
          <w:b/>
          <w:bCs/>
        </w:rPr>
        <w:t>?</w:t>
      </w:r>
    </w:p>
    <w:p w14:paraId="00AB1B3E" w14:textId="77777777" w:rsidR="0018338B" w:rsidRPr="0018338B" w:rsidRDefault="0018338B" w:rsidP="0018338B">
      <w:pPr>
        <w:bidi/>
      </w:pPr>
      <w:r w:rsidRPr="0018338B">
        <w:rPr>
          <w:rtl/>
        </w:rPr>
        <w:t xml:space="preserve">כבר שנים קיימות עדויות לכך </w:t>
      </w:r>
      <w:proofErr w:type="spellStart"/>
      <w:r w:rsidRPr="0018338B">
        <w:rPr>
          <w:rtl/>
        </w:rPr>
        <w:t>שפרוביוטיקה</w:t>
      </w:r>
      <w:proofErr w:type="spellEnd"/>
      <w:r w:rsidRPr="0018338B">
        <w:rPr>
          <w:rtl/>
        </w:rPr>
        <w:t xml:space="preserve"> עשויה להפחית</w:t>
      </w:r>
      <w:r w:rsidRPr="0018338B">
        <w:t xml:space="preserve"> NEC </w:t>
      </w:r>
      <w:r w:rsidRPr="0018338B">
        <w:rPr>
          <w:rtl/>
        </w:rPr>
        <w:t xml:space="preserve">בפגים. למרות זאת, השימוש בה אינו אחיד. יש פגיות שבהן </w:t>
      </w:r>
      <w:proofErr w:type="spellStart"/>
      <w:r w:rsidRPr="0018338B">
        <w:rPr>
          <w:rtl/>
        </w:rPr>
        <w:t>פרוביוטיקה</w:t>
      </w:r>
      <w:proofErr w:type="spellEnd"/>
      <w:r w:rsidRPr="0018338B">
        <w:rPr>
          <w:rtl/>
        </w:rPr>
        <w:t xml:space="preserve"> היא חלק קבוע מפרוטוקול ההזנה, ולעומתן יחידות שנמנעות ממנה בשל שאלות הנוגעות לבטיחות, לאיכות המוצר ולהבדלים בין התכשירים</w:t>
      </w:r>
      <w:r w:rsidRPr="0018338B">
        <w:t>.</w:t>
      </w:r>
    </w:p>
    <w:p w14:paraId="3F40B6F9" w14:textId="77777777" w:rsidR="0018338B" w:rsidRPr="0018338B" w:rsidRDefault="0018338B" w:rsidP="0018338B">
      <w:pPr>
        <w:bidi/>
      </w:pPr>
      <w:r w:rsidRPr="0018338B">
        <w:rPr>
          <w:rtl/>
        </w:rPr>
        <w:t>המונח “</w:t>
      </w:r>
      <w:proofErr w:type="spellStart"/>
      <w:r w:rsidRPr="0018338B">
        <w:rPr>
          <w:rtl/>
        </w:rPr>
        <w:t>פרוביוטיקה</w:t>
      </w:r>
      <w:proofErr w:type="spellEnd"/>
      <w:r w:rsidRPr="0018338B">
        <w:rPr>
          <w:rtl/>
        </w:rPr>
        <w:t xml:space="preserve">” אינו מתאר טיפול אחיד. המוצרים מכילים זנים שונים, שילובים שונים, מינונים שונים ורמות שונות של בקרת איכות. תוצאה שהתקבלה עם זן מסוים אינה ניתנת בהכרח להשלכה על זן אחר. נוסף על כך, תוארו מקרים שבהם החיידק שניתן </w:t>
      </w:r>
      <w:proofErr w:type="spellStart"/>
      <w:r w:rsidRPr="0018338B">
        <w:rPr>
          <w:rtl/>
        </w:rPr>
        <w:t>כפרוביוטיקה</w:t>
      </w:r>
      <w:proofErr w:type="spellEnd"/>
      <w:r w:rsidRPr="0018338B">
        <w:rPr>
          <w:rtl/>
        </w:rPr>
        <w:t xml:space="preserve"> גרם בעצמו </w:t>
      </w:r>
      <w:proofErr w:type="spellStart"/>
      <w:r w:rsidRPr="0018338B">
        <w:rPr>
          <w:rtl/>
        </w:rPr>
        <w:t>לבקטרמיה</w:t>
      </w:r>
      <w:proofErr w:type="spellEnd"/>
      <w:r w:rsidRPr="0018338B">
        <w:rPr>
          <w:rtl/>
        </w:rPr>
        <w:t xml:space="preserve"> או </w:t>
      </w:r>
      <w:proofErr w:type="spellStart"/>
      <w:r w:rsidRPr="0018338B">
        <w:rPr>
          <w:rtl/>
        </w:rPr>
        <w:t>לספסיס</w:t>
      </w:r>
      <w:proofErr w:type="spellEnd"/>
      <w:r w:rsidRPr="0018338B">
        <w:rPr>
          <w:rtl/>
        </w:rPr>
        <w:t xml:space="preserve"> בפג</w:t>
      </w:r>
      <w:r w:rsidRPr="0018338B">
        <w:t>.</w:t>
      </w:r>
    </w:p>
    <w:p w14:paraId="30B847B1" w14:textId="77777777" w:rsidR="0018338B" w:rsidRPr="0018338B" w:rsidRDefault="0018338B" w:rsidP="0018338B">
      <w:pPr>
        <w:bidi/>
      </w:pPr>
      <w:r w:rsidRPr="0018338B">
        <w:rPr>
          <w:rtl/>
        </w:rPr>
        <w:t>לכן המחקר הנוכחי לא שאל אם “</w:t>
      </w:r>
      <w:proofErr w:type="spellStart"/>
      <w:r w:rsidRPr="0018338B">
        <w:rPr>
          <w:rtl/>
        </w:rPr>
        <w:t>פרוביוטיקה</w:t>
      </w:r>
      <w:proofErr w:type="spellEnd"/>
      <w:r w:rsidRPr="0018338B">
        <w:rPr>
          <w:rtl/>
        </w:rPr>
        <w:t xml:space="preserve"> באופן כללי” יעילה, אלא מה קרה לאחר ששתי פגיות הכניסו לשימוש שגרתי תכשיר </w:t>
      </w:r>
      <w:proofErr w:type="spellStart"/>
      <w:r w:rsidRPr="0018338B">
        <w:rPr>
          <w:rtl/>
        </w:rPr>
        <w:t>רב־זני</w:t>
      </w:r>
      <w:proofErr w:type="spellEnd"/>
      <w:r w:rsidRPr="0018338B">
        <w:rPr>
          <w:rtl/>
        </w:rPr>
        <w:t xml:space="preserve"> מוגדר</w:t>
      </w:r>
      <w:r w:rsidRPr="0018338B">
        <w:t>.</w:t>
      </w:r>
    </w:p>
    <w:p w14:paraId="28A324D9" w14:textId="77777777" w:rsidR="0018338B" w:rsidRPr="0018338B" w:rsidRDefault="0018338B" w:rsidP="0018338B">
      <w:pPr>
        <w:bidi/>
        <w:rPr>
          <w:b/>
          <w:bCs/>
        </w:rPr>
      </w:pPr>
      <w:r w:rsidRPr="0018338B">
        <w:rPr>
          <w:b/>
          <w:bCs/>
          <w:rtl/>
        </w:rPr>
        <w:t>מה המחקר בדק</w:t>
      </w:r>
      <w:r w:rsidRPr="0018338B">
        <w:rPr>
          <w:b/>
          <w:bCs/>
        </w:rPr>
        <w:t>?</w:t>
      </w:r>
    </w:p>
    <w:p w14:paraId="15C9609E" w14:textId="77777777" w:rsidR="0018338B" w:rsidRPr="0018338B" w:rsidRDefault="0018338B" w:rsidP="0018338B">
      <w:pPr>
        <w:bidi/>
      </w:pPr>
      <w:r w:rsidRPr="0018338B">
        <w:rPr>
          <w:rtl/>
        </w:rPr>
        <w:t>זהו מחקר רטרוספקטיבי מסוג לפני ואחרי, שנערך בשתי פגיות בהולנד. נכללו 1,413 תינוקות שנולדו לפני שבוע 30, שקלו פחות מ־1,000 גרם או עמדו באחד משני הקריטריונים</w:t>
      </w:r>
      <w:r w:rsidRPr="0018338B">
        <w:t>.</w:t>
      </w:r>
    </w:p>
    <w:p w14:paraId="698C4152" w14:textId="77777777" w:rsidR="0018338B" w:rsidRPr="0018338B" w:rsidRDefault="0018338B" w:rsidP="0018338B">
      <w:pPr>
        <w:bidi/>
      </w:pPr>
      <w:r w:rsidRPr="0018338B">
        <w:t xml:space="preserve">598 </w:t>
      </w:r>
      <w:r w:rsidRPr="0018338B">
        <w:rPr>
          <w:rtl/>
        </w:rPr>
        <w:t xml:space="preserve">תינוקות נולדו בתקופה שקדמה להכנסת הפרוטוקול, ו־815 לאחר הכנסת </w:t>
      </w:r>
      <w:proofErr w:type="spellStart"/>
      <w:r w:rsidRPr="0018338B">
        <w:rPr>
          <w:rtl/>
        </w:rPr>
        <w:t>הפרוביוטיקה</w:t>
      </w:r>
      <w:proofErr w:type="spellEnd"/>
      <w:r w:rsidRPr="0018338B">
        <w:rPr>
          <w:rtl/>
        </w:rPr>
        <w:t xml:space="preserve"> לשימוש שגרתי</w:t>
      </w:r>
      <w:r w:rsidRPr="0018338B">
        <w:t>.</w:t>
      </w:r>
    </w:p>
    <w:p w14:paraId="44B2E245" w14:textId="77777777" w:rsidR="0018338B" w:rsidRPr="0018338B" w:rsidRDefault="0018338B" w:rsidP="0018338B">
      <w:pPr>
        <w:bidi/>
      </w:pPr>
      <w:r w:rsidRPr="0018338B">
        <w:rPr>
          <w:rtl/>
        </w:rPr>
        <w:t>התכשיר הכיל שלושה זנים מוגדרים</w:t>
      </w:r>
      <w:r w:rsidRPr="0018338B">
        <w:t>:</w:t>
      </w:r>
    </w:p>
    <w:p w14:paraId="1D9F5818" w14:textId="77777777" w:rsidR="0018338B" w:rsidRPr="0018338B" w:rsidRDefault="0018338B" w:rsidP="0018338B">
      <w:pPr>
        <w:bidi/>
      </w:pPr>
      <w:r w:rsidRPr="0018338B">
        <w:rPr>
          <w:i/>
          <w:iCs/>
        </w:rPr>
        <w:t>Bifidobacterium infantis</w:t>
      </w:r>
      <w:r w:rsidRPr="0018338B">
        <w:t xml:space="preserve"> Bb-02,</w:t>
      </w:r>
      <w:r w:rsidRPr="0018338B">
        <w:br/>
      </w:r>
      <w:r w:rsidRPr="0018338B">
        <w:rPr>
          <w:i/>
          <w:iCs/>
        </w:rPr>
        <w:t>Bifidobacterium lactis</w:t>
      </w:r>
      <w:r w:rsidRPr="0018338B">
        <w:t xml:space="preserve"> BB-12,</w:t>
      </w:r>
      <w:r w:rsidRPr="0018338B">
        <w:br/>
      </w:r>
      <w:r w:rsidRPr="0018338B">
        <w:rPr>
          <w:rtl/>
        </w:rPr>
        <w:t>ו־</w:t>
      </w:r>
      <w:r w:rsidRPr="0018338B">
        <w:rPr>
          <w:i/>
          <w:iCs/>
        </w:rPr>
        <w:t>Streptococcus thermophilus</w:t>
      </w:r>
      <w:r w:rsidRPr="0018338B">
        <w:t xml:space="preserve"> TH-4.</w:t>
      </w:r>
    </w:p>
    <w:p w14:paraId="05036132" w14:textId="77777777" w:rsidR="0018338B" w:rsidRPr="0018338B" w:rsidRDefault="0018338B" w:rsidP="0018338B">
      <w:pPr>
        <w:bidi/>
      </w:pPr>
      <w:r w:rsidRPr="0018338B">
        <w:rPr>
          <w:rtl/>
        </w:rPr>
        <w:t>החוקרים בדקו</w:t>
      </w:r>
      <w:r w:rsidRPr="0018338B">
        <w:t xml:space="preserve"> NEC </w:t>
      </w:r>
      <w:r w:rsidRPr="0018338B">
        <w:rPr>
          <w:rtl/>
        </w:rPr>
        <w:t>בדרגת</w:t>
      </w:r>
      <w:r w:rsidRPr="0018338B">
        <w:t xml:space="preserve"> Bell 2 </w:t>
      </w:r>
      <w:r w:rsidRPr="0018338B">
        <w:rPr>
          <w:rtl/>
        </w:rPr>
        <w:t>ומעלה, וכן הפרידו בין</w:t>
      </w:r>
      <w:r w:rsidRPr="0018338B">
        <w:t xml:space="preserve"> NEC </w:t>
      </w:r>
      <w:r w:rsidRPr="0018338B">
        <w:rPr>
          <w:rtl/>
        </w:rPr>
        <w:t>שטופל רפואית</w:t>
      </w:r>
      <w:r w:rsidRPr="0018338B">
        <w:t xml:space="preserve">, NEC </w:t>
      </w:r>
      <w:r w:rsidRPr="0018338B">
        <w:rPr>
          <w:rtl/>
        </w:rPr>
        <w:t>שהצריך ניתוח ו־</w:t>
      </w:r>
      <w:r w:rsidRPr="0018338B">
        <w:t xml:space="preserve">NEC </w:t>
      </w:r>
      <w:r w:rsidRPr="0018338B">
        <w:rPr>
          <w:rtl/>
        </w:rPr>
        <w:t xml:space="preserve">קטלני. בנוסף נבדקו תמותה כוללת, זיהומים מאוחרים, </w:t>
      </w:r>
      <w:proofErr w:type="spellStart"/>
      <w:r w:rsidRPr="0018338B">
        <w:rPr>
          <w:rtl/>
        </w:rPr>
        <w:t>פרפורציה</w:t>
      </w:r>
      <w:proofErr w:type="spellEnd"/>
      <w:r w:rsidRPr="0018338B">
        <w:rPr>
          <w:rtl/>
        </w:rPr>
        <w:t xml:space="preserve"> מוקדית של המעי </w:t>
      </w:r>
      <w:proofErr w:type="spellStart"/>
      <w:r w:rsidRPr="0018338B">
        <w:rPr>
          <w:rtl/>
        </w:rPr>
        <w:t>וספסיס</w:t>
      </w:r>
      <w:proofErr w:type="spellEnd"/>
      <w:r w:rsidRPr="0018338B">
        <w:rPr>
          <w:rtl/>
        </w:rPr>
        <w:t xml:space="preserve"> שנגרם מזן </w:t>
      </w:r>
      <w:proofErr w:type="spellStart"/>
      <w:r w:rsidRPr="0018338B">
        <w:rPr>
          <w:rtl/>
        </w:rPr>
        <w:t>הפרוביוטיקה</w:t>
      </w:r>
      <w:proofErr w:type="spellEnd"/>
      <w:r w:rsidRPr="0018338B">
        <w:t>.</w:t>
      </w:r>
    </w:p>
    <w:p w14:paraId="6DB471C9" w14:textId="18502414" w:rsidR="0018338B" w:rsidRPr="0018338B" w:rsidRDefault="0018338B" w:rsidP="0018338B">
      <w:pPr>
        <w:bidi/>
      </w:pPr>
      <w:r w:rsidRPr="0018338B">
        <w:rPr>
          <w:rtl/>
        </w:rPr>
        <w:t>כדי לצמצם את האפשרות שהירידה ב־</w:t>
      </w:r>
      <w:r w:rsidRPr="0018338B">
        <w:t xml:space="preserve">NEC </w:t>
      </w:r>
      <w:r w:rsidR="00653540">
        <w:rPr>
          <w:rFonts w:hint="cs"/>
          <w:rtl/>
        </w:rPr>
        <w:t xml:space="preserve"> </w:t>
      </w:r>
      <w:r w:rsidRPr="0018338B">
        <w:rPr>
          <w:rtl/>
        </w:rPr>
        <w:t>הייתה חלק משיפור הדרגתי בטיפול לאורך השנים, בוצע גם</w:t>
      </w:r>
      <w:r w:rsidRPr="0018338B">
        <w:t xml:space="preserve"> interrupted time-series analysis </w:t>
      </w:r>
      <w:r w:rsidRPr="0018338B">
        <w:rPr>
          <w:rtl/>
        </w:rPr>
        <w:t>שבדק את מגמת התחלואה לפני ואחרי הכנסת הפרוטוקול</w:t>
      </w:r>
      <w:r w:rsidRPr="0018338B">
        <w:t>.</w:t>
      </w:r>
    </w:p>
    <w:p w14:paraId="3E7E15D2" w14:textId="77777777" w:rsidR="0018338B" w:rsidRPr="0018338B" w:rsidRDefault="0018338B" w:rsidP="0018338B">
      <w:pPr>
        <w:bidi/>
        <w:rPr>
          <w:b/>
          <w:bCs/>
        </w:rPr>
      </w:pPr>
      <w:r w:rsidRPr="0018338B">
        <w:rPr>
          <w:b/>
          <w:bCs/>
          <w:rtl/>
        </w:rPr>
        <w:t>מה היו התוצאות</w:t>
      </w:r>
      <w:r w:rsidRPr="0018338B">
        <w:rPr>
          <w:b/>
          <w:bCs/>
        </w:rPr>
        <w:t>?</w:t>
      </w:r>
    </w:p>
    <w:p w14:paraId="0617DF0D" w14:textId="77777777" w:rsidR="0018338B" w:rsidRPr="0018338B" w:rsidRDefault="0018338B" w:rsidP="0018338B">
      <w:pPr>
        <w:bidi/>
      </w:pPr>
      <w:r w:rsidRPr="0018338B">
        <w:rPr>
          <w:rtl/>
        </w:rPr>
        <w:t xml:space="preserve">לפני הכנסת </w:t>
      </w:r>
      <w:proofErr w:type="spellStart"/>
      <w:r w:rsidRPr="0018338B">
        <w:rPr>
          <w:rtl/>
        </w:rPr>
        <w:t>הפרוביוטיקה</w:t>
      </w:r>
      <w:proofErr w:type="spellEnd"/>
      <w:r w:rsidRPr="0018338B">
        <w:rPr>
          <w:rtl/>
        </w:rPr>
        <w:t>, 71 מתוך 598 תינוקות פיתחו</w:t>
      </w:r>
      <w:r w:rsidRPr="0018338B">
        <w:t xml:space="preserve"> NEC </w:t>
      </w:r>
      <w:r w:rsidRPr="0018338B">
        <w:rPr>
          <w:rtl/>
        </w:rPr>
        <w:t>בדרגת</w:t>
      </w:r>
      <w:r w:rsidRPr="0018338B">
        <w:t xml:space="preserve"> Bell 2 </w:t>
      </w:r>
      <w:r w:rsidRPr="0018338B">
        <w:rPr>
          <w:rtl/>
        </w:rPr>
        <w:t>ומעלה — שיעור של 11.9%</w:t>
      </w:r>
      <w:r w:rsidRPr="0018338B">
        <w:t>.</w:t>
      </w:r>
    </w:p>
    <w:p w14:paraId="5CD4AD51" w14:textId="77777777" w:rsidR="0018338B" w:rsidRPr="0018338B" w:rsidRDefault="0018338B" w:rsidP="0018338B">
      <w:pPr>
        <w:bidi/>
      </w:pPr>
      <w:r w:rsidRPr="0018338B">
        <w:rPr>
          <w:rtl/>
        </w:rPr>
        <w:lastRenderedPageBreak/>
        <w:t>לאחר הכנסת הפרוטוקול, 43 מתוך 815 תינוקות פיתחו</w:t>
      </w:r>
      <w:r w:rsidRPr="0018338B">
        <w:t xml:space="preserve"> NEC — </w:t>
      </w:r>
      <w:r w:rsidRPr="0018338B">
        <w:rPr>
          <w:rtl/>
        </w:rPr>
        <w:t>שיעור של 5.3%</w:t>
      </w:r>
      <w:r w:rsidRPr="0018338B">
        <w:t>.</w:t>
      </w:r>
    </w:p>
    <w:p w14:paraId="6609F416" w14:textId="77777777" w:rsidR="0018338B" w:rsidRPr="0018338B" w:rsidRDefault="0018338B" w:rsidP="0018338B">
      <w:pPr>
        <w:bidi/>
      </w:pPr>
      <w:r w:rsidRPr="0018338B">
        <w:rPr>
          <w:rtl/>
        </w:rPr>
        <w:t>לאחר התאמה לגיל ההיריון, למשקל הלידה ולגורמי סיכון נוספים, הסיכון היחסי המתוקנן היה 0.49. כלומר, השימוש בפרוטוקול היה קשור לירידה של כ־51% בסיכון ל־</w:t>
      </w:r>
      <w:r w:rsidRPr="0018338B">
        <w:t>NEC.</w:t>
      </w:r>
    </w:p>
    <w:p w14:paraId="26E5CCE8" w14:textId="77777777" w:rsidR="0018338B" w:rsidRPr="0018338B" w:rsidRDefault="0018338B" w:rsidP="0018338B">
      <w:pPr>
        <w:bidi/>
      </w:pPr>
      <w:r w:rsidRPr="0018338B">
        <w:rPr>
          <w:rtl/>
        </w:rPr>
        <w:t>ההבדל המוחלט היה 6.6 נקודות אחוז, ומספר התינוקות המשוער שצריך לטפל בהם כדי למנוע מקרה אחד של</w:t>
      </w:r>
      <w:r w:rsidRPr="0018338B">
        <w:t xml:space="preserve"> NEC </w:t>
      </w:r>
      <w:r w:rsidRPr="0018338B">
        <w:rPr>
          <w:rtl/>
        </w:rPr>
        <w:t>היה 15</w:t>
      </w:r>
      <w:r w:rsidRPr="0018338B">
        <w:t>.</w:t>
      </w:r>
    </w:p>
    <w:p w14:paraId="58F29CBF" w14:textId="5584C012" w:rsidR="0018338B" w:rsidRPr="0018338B" w:rsidRDefault="0018338B" w:rsidP="0018338B">
      <w:pPr>
        <w:bidi/>
      </w:pPr>
      <w:r w:rsidRPr="0018338B">
        <w:rPr>
          <w:rtl/>
        </w:rPr>
        <w:t>הירידה נצפתה גם בתוצאים החמורים יותר. שיעור ה־</w:t>
      </w:r>
      <w:r w:rsidRPr="0018338B">
        <w:t xml:space="preserve">NEC </w:t>
      </w:r>
      <w:r w:rsidRPr="0018338B">
        <w:rPr>
          <w:rtl/>
        </w:rPr>
        <w:t>הכירורגי ירד מ־3.5% ל־1.5%, ושיעור ה־</w:t>
      </w:r>
      <w:r w:rsidRPr="0018338B">
        <w:t xml:space="preserve">NEC </w:t>
      </w:r>
      <w:r w:rsidR="00653540">
        <w:rPr>
          <w:rFonts w:hint="cs"/>
          <w:rtl/>
        </w:rPr>
        <w:t xml:space="preserve"> </w:t>
      </w:r>
      <w:r w:rsidRPr="0018338B">
        <w:rPr>
          <w:rtl/>
        </w:rPr>
        <w:t>הקטלני ירד מ־4.5% ל־2%. בקרב הפגים הקיצוניים ירד שיעור ה־</w:t>
      </w:r>
      <w:r w:rsidRPr="0018338B">
        <w:t xml:space="preserve">NEC </w:t>
      </w:r>
      <w:r w:rsidRPr="0018338B">
        <w:rPr>
          <w:rtl/>
        </w:rPr>
        <w:t>מ־19.8% ל־8.9%</w:t>
      </w:r>
      <w:r w:rsidRPr="0018338B">
        <w:t>.</w:t>
      </w:r>
    </w:p>
    <w:p w14:paraId="6E743BA0" w14:textId="77777777" w:rsidR="0018338B" w:rsidRPr="0018338B" w:rsidRDefault="0018338B" w:rsidP="0018338B">
      <w:pPr>
        <w:bidi/>
      </w:pPr>
      <w:r w:rsidRPr="0018338B">
        <w:rPr>
          <w:rtl/>
        </w:rPr>
        <w:t>התמותה הכוללת לא השתנתה: 11.7% לפני הכנסת הפרוטוקול לעומת 11.5% לאחריו. במקביל נרשמה עלייה בתמותה שלא יוחסה ל־</w:t>
      </w:r>
      <w:r w:rsidRPr="0018338B">
        <w:t xml:space="preserve">NEC, </w:t>
      </w:r>
      <w:r w:rsidRPr="0018338B">
        <w:rPr>
          <w:rtl/>
        </w:rPr>
        <w:t>מ־7.2% ל־9.6%, ממצא שהגיע לסף המובהקות הסטטיסטית ושמחייב זהירות בפרשנות</w:t>
      </w:r>
      <w:r w:rsidRPr="0018338B">
        <w:t>.</w:t>
      </w:r>
    </w:p>
    <w:p w14:paraId="7C206D12" w14:textId="77777777" w:rsidR="0018338B" w:rsidRPr="0018338B" w:rsidRDefault="0018338B" w:rsidP="0018338B">
      <w:pPr>
        <w:bidi/>
      </w:pPr>
      <w:r w:rsidRPr="0018338B">
        <w:rPr>
          <w:rtl/>
        </w:rPr>
        <w:t xml:space="preserve">זוהה מקרה אחד של </w:t>
      </w:r>
      <w:proofErr w:type="spellStart"/>
      <w:r w:rsidRPr="0018338B">
        <w:rPr>
          <w:rtl/>
        </w:rPr>
        <w:t>ספסיס</w:t>
      </w:r>
      <w:proofErr w:type="spellEnd"/>
      <w:r w:rsidRPr="0018338B">
        <w:rPr>
          <w:rtl/>
        </w:rPr>
        <w:t xml:space="preserve"> שנגרם מזן </w:t>
      </w:r>
      <w:proofErr w:type="spellStart"/>
      <w:r w:rsidRPr="0018338B">
        <w:rPr>
          <w:rtl/>
        </w:rPr>
        <w:t>הפרוביוטיקה</w:t>
      </w:r>
      <w:proofErr w:type="spellEnd"/>
      <w:r w:rsidRPr="0018338B">
        <w:rPr>
          <w:rtl/>
        </w:rPr>
        <w:t xml:space="preserve"> מתוך 815 תינוקות בתקופת ההתערבות</w:t>
      </w:r>
      <w:r w:rsidRPr="0018338B">
        <w:t>.</w:t>
      </w:r>
    </w:p>
    <w:p w14:paraId="030546CD" w14:textId="77777777" w:rsidR="0018338B" w:rsidRPr="0018338B" w:rsidRDefault="0018338B" w:rsidP="0018338B">
      <w:pPr>
        <w:bidi/>
        <w:rPr>
          <w:b/>
          <w:bCs/>
        </w:rPr>
      </w:pPr>
      <w:r w:rsidRPr="0018338B">
        <w:rPr>
          <w:b/>
          <w:bCs/>
          <w:rtl/>
        </w:rPr>
        <w:t>ה־</w:t>
      </w:r>
      <w:r w:rsidRPr="0018338B">
        <w:rPr>
          <w:b/>
          <w:bCs/>
        </w:rPr>
        <w:t>Take-home message</w:t>
      </w:r>
    </w:p>
    <w:p w14:paraId="7C79D24D" w14:textId="60C96434" w:rsidR="0018338B" w:rsidRPr="0018338B" w:rsidRDefault="0018338B" w:rsidP="0018338B">
      <w:pPr>
        <w:bidi/>
      </w:pPr>
      <w:r w:rsidRPr="0018338B">
        <w:rPr>
          <w:b/>
          <w:bCs/>
          <w:rtl/>
        </w:rPr>
        <w:t xml:space="preserve">הטמעת תכשיר </w:t>
      </w:r>
      <w:proofErr w:type="spellStart"/>
      <w:r w:rsidRPr="0018338B">
        <w:rPr>
          <w:b/>
          <w:bCs/>
          <w:rtl/>
        </w:rPr>
        <w:t>פרוביוטי</w:t>
      </w:r>
      <w:proofErr w:type="spellEnd"/>
      <w:r w:rsidRPr="0018338B">
        <w:rPr>
          <w:b/>
          <w:bCs/>
          <w:rtl/>
        </w:rPr>
        <w:t xml:space="preserve"> </w:t>
      </w:r>
      <w:proofErr w:type="spellStart"/>
      <w:r w:rsidRPr="0018338B">
        <w:rPr>
          <w:b/>
          <w:bCs/>
          <w:rtl/>
        </w:rPr>
        <w:t>תלת־זני</w:t>
      </w:r>
      <w:proofErr w:type="spellEnd"/>
      <w:r w:rsidRPr="0018338B">
        <w:rPr>
          <w:b/>
          <w:bCs/>
          <w:rtl/>
        </w:rPr>
        <w:t xml:space="preserve"> מוגדר הייתה קשורה לירידה גדולה ב־</w:t>
      </w:r>
      <w:r w:rsidRPr="0018338B">
        <w:rPr>
          <w:b/>
          <w:bCs/>
        </w:rPr>
        <w:t xml:space="preserve">NEC, </w:t>
      </w:r>
      <w:r w:rsidR="00653540">
        <w:rPr>
          <w:rFonts w:hint="cs"/>
          <w:b/>
          <w:bCs/>
          <w:rtl/>
        </w:rPr>
        <w:t xml:space="preserve"> </w:t>
      </w:r>
      <w:r w:rsidRPr="0018338B">
        <w:rPr>
          <w:b/>
          <w:bCs/>
          <w:rtl/>
        </w:rPr>
        <w:t>כולל</w:t>
      </w:r>
      <w:r w:rsidRPr="0018338B">
        <w:rPr>
          <w:b/>
          <w:bCs/>
        </w:rPr>
        <w:t xml:space="preserve"> NEC </w:t>
      </w:r>
      <w:r w:rsidRPr="0018338B">
        <w:rPr>
          <w:b/>
          <w:bCs/>
          <w:rtl/>
        </w:rPr>
        <w:t xml:space="preserve">ניתוחי וקטלני, אך אין להסיק מכך שכל תכשיר </w:t>
      </w:r>
      <w:proofErr w:type="spellStart"/>
      <w:r w:rsidRPr="0018338B">
        <w:rPr>
          <w:b/>
          <w:bCs/>
          <w:rtl/>
        </w:rPr>
        <w:t>פרוביוטי</w:t>
      </w:r>
      <w:proofErr w:type="spellEnd"/>
      <w:r w:rsidRPr="0018338B">
        <w:rPr>
          <w:b/>
          <w:bCs/>
          <w:rtl/>
        </w:rPr>
        <w:t xml:space="preserve"> יעיל או בטוח באותה מידה</w:t>
      </w:r>
      <w:r w:rsidRPr="0018338B">
        <w:rPr>
          <w:b/>
          <w:bCs/>
        </w:rPr>
        <w:t>.</w:t>
      </w:r>
    </w:p>
    <w:p w14:paraId="6885DE24" w14:textId="77777777" w:rsidR="0018338B" w:rsidRPr="0018338B" w:rsidRDefault="0018338B" w:rsidP="0018338B">
      <w:pPr>
        <w:bidi/>
      </w:pPr>
      <w:r w:rsidRPr="0018338B">
        <w:rPr>
          <w:rtl/>
        </w:rPr>
        <w:t xml:space="preserve">המשמעות היא שהדיון אינו יכול להסתכם בשאלה “האם לתת </w:t>
      </w:r>
      <w:proofErr w:type="spellStart"/>
      <w:r w:rsidRPr="0018338B">
        <w:rPr>
          <w:rtl/>
        </w:rPr>
        <w:t>פרוביוטיקה</w:t>
      </w:r>
      <w:proofErr w:type="spellEnd"/>
      <w:r w:rsidRPr="0018338B">
        <w:rPr>
          <w:rtl/>
        </w:rPr>
        <w:t>”. נדרשת התייחסות לזנים המדויקים, לאיכות הייצור, לאוכלוסיית היעד וליכולת לזהות ולטפל בזיהום הנגרם מהתכשיר עצמו</w:t>
      </w:r>
      <w:r w:rsidRPr="0018338B">
        <w:t>.</w:t>
      </w:r>
    </w:p>
    <w:p w14:paraId="72A7F9BF" w14:textId="77777777" w:rsidR="0018338B" w:rsidRPr="0018338B" w:rsidRDefault="0018338B" w:rsidP="0018338B">
      <w:pPr>
        <w:bidi/>
        <w:rPr>
          <w:b/>
          <w:bCs/>
        </w:rPr>
      </w:pPr>
      <w:r w:rsidRPr="0018338B">
        <w:rPr>
          <w:b/>
          <w:bCs/>
          <w:rtl/>
        </w:rPr>
        <w:t>חוזק הראיות והמגבלה העיקרית</w:t>
      </w:r>
    </w:p>
    <w:p w14:paraId="3124F917" w14:textId="77777777" w:rsidR="0018338B" w:rsidRPr="0018338B" w:rsidRDefault="0018338B" w:rsidP="0018338B">
      <w:pPr>
        <w:bidi/>
      </w:pPr>
      <w:r w:rsidRPr="0018338B">
        <w:rPr>
          <w:rtl/>
        </w:rPr>
        <w:t>היתרונות הם מספר גדול יחסית של פגים בסיכון גבוה, תכשיר מוגדר, הפרדה בין</w:t>
      </w:r>
      <w:r w:rsidRPr="0018338B">
        <w:t xml:space="preserve"> NEC </w:t>
      </w:r>
      <w:r w:rsidRPr="0018338B">
        <w:rPr>
          <w:rtl/>
        </w:rPr>
        <w:t>רפואי, ניתוחי וקטלני, ושימוש בניתוח סדרת זמן כדי לבדוק אם הירידה קדמה להתערבות</w:t>
      </w:r>
      <w:r w:rsidRPr="0018338B">
        <w:t>.</w:t>
      </w:r>
    </w:p>
    <w:p w14:paraId="7274C5FD" w14:textId="77777777" w:rsidR="0018338B" w:rsidRPr="0018338B" w:rsidRDefault="0018338B" w:rsidP="0018338B">
      <w:pPr>
        <w:bidi/>
      </w:pPr>
      <w:r w:rsidRPr="0018338B">
        <w:rPr>
          <w:rtl/>
        </w:rPr>
        <w:t>המגבלה המרכזית היא היעדר הקצאה אקראית. במהלך תקופת המחקר ייתכן שהשתנו גם פרוטוקולי ההזנה, השימוש בחלב אם או בחלב תורמת, מדיניות האנטיביוטיקה, מניעת זיהומים ואופן אבחון ה־</w:t>
      </w:r>
      <w:r w:rsidRPr="0018338B">
        <w:t xml:space="preserve">NEC. </w:t>
      </w:r>
      <w:r w:rsidRPr="0018338B">
        <w:rPr>
          <w:rtl/>
        </w:rPr>
        <w:t>התאמות סטטיסטיות אינן יכולות לבטל לחלוטין את ההבדלים האלה</w:t>
      </w:r>
      <w:r w:rsidRPr="0018338B">
        <w:t>.</w:t>
      </w:r>
    </w:p>
    <w:p w14:paraId="04DC6490" w14:textId="29160DC9" w:rsidR="0018338B" w:rsidRPr="0018338B" w:rsidRDefault="0018338B" w:rsidP="0018338B">
      <w:pPr>
        <w:bidi/>
      </w:pPr>
      <w:r w:rsidRPr="0018338B">
        <w:rPr>
          <w:rtl/>
        </w:rPr>
        <w:t>היעדר שיפור בתמותה הכוללת והעלייה בתמותה שאינה קשורה ל־</w:t>
      </w:r>
      <w:r w:rsidRPr="0018338B">
        <w:t xml:space="preserve">NEC </w:t>
      </w:r>
      <w:r w:rsidR="00653540">
        <w:rPr>
          <w:rFonts w:hint="cs"/>
          <w:rtl/>
        </w:rPr>
        <w:t xml:space="preserve"> </w:t>
      </w:r>
      <w:r w:rsidRPr="0018338B">
        <w:rPr>
          <w:rtl/>
        </w:rPr>
        <w:t xml:space="preserve">מונעים מסקנה פשטנית </w:t>
      </w:r>
      <w:proofErr w:type="spellStart"/>
      <w:r w:rsidRPr="0018338B">
        <w:rPr>
          <w:rtl/>
        </w:rPr>
        <w:t>שהפרוביוטיקה</w:t>
      </w:r>
      <w:proofErr w:type="spellEnd"/>
      <w:r w:rsidRPr="0018338B">
        <w:rPr>
          <w:rtl/>
        </w:rPr>
        <w:t xml:space="preserve"> שיפרה את התוצאה הכוללת של אוכלוסיית הפגים</w:t>
      </w:r>
      <w:r w:rsidRPr="0018338B">
        <w:t>.</w:t>
      </w:r>
    </w:p>
    <w:p w14:paraId="160AA023" w14:textId="77777777" w:rsidR="0018338B" w:rsidRPr="0018338B" w:rsidRDefault="0018338B" w:rsidP="0018338B">
      <w:pPr>
        <w:bidi/>
        <w:rPr>
          <w:b/>
          <w:bCs/>
        </w:rPr>
      </w:pPr>
      <w:r w:rsidRPr="0018338B">
        <w:rPr>
          <w:b/>
          <w:bCs/>
          <w:rtl/>
        </w:rPr>
        <w:t>איך לקחת את זה הלאה</w:t>
      </w:r>
      <w:r w:rsidRPr="0018338B">
        <w:rPr>
          <w:b/>
          <w:bCs/>
        </w:rPr>
        <w:t>?</w:t>
      </w:r>
    </w:p>
    <w:p w14:paraId="30AE1E8E" w14:textId="4E1BAB44" w:rsidR="0018338B" w:rsidRPr="0018338B" w:rsidRDefault="0018338B" w:rsidP="0018338B">
      <w:pPr>
        <w:numPr>
          <w:ilvl w:val="0"/>
          <w:numId w:val="2"/>
        </w:numPr>
        <w:bidi/>
      </w:pPr>
      <w:r w:rsidRPr="0018338B">
        <w:rPr>
          <w:rtl/>
        </w:rPr>
        <w:t>לברר מהו שיעור ה־</w:t>
      </w:r>
      <w:r w:rsidRPr="0018338B">
        <w:t xml:space="preserve">NEC </w:t>
      </w:r>
      <w:r w:rsidR="00653540">
        <w:rPr>
          <w:rFonts w:hint="cs"/>
          <w:rtl/>
        </w:rPr>
        <w:t xml:space="preserve"> </w:t>
      </w:r>
      <w:r w:rsidRPr="0018338B">
        <w:rPr>
          <w:rtl/>
        </w:rPr>
        <w:t>הכולל, הניתוחי והקטלני בפגייה המקומית</w:t>
      </w:r>
      <w:r w:rsidRPr="0018338B">
        <w:t xml:space="preserve">. </w:t>
      </w:r>
    </w:p>
    <w:p w14:paraId="22D6FE23" w14:textId="77777777" w:rsidR="0018338B" w:rsidRPr="0018338B" w:rsidRDefault="0018338B" w:rsidP="0018338B">
      <w:pPr>
        <w:numPr>
          <w:ilvl w:val="0"/>
          <w:numId w:val="2"/>
        </w:numPr>
        <w:bidi/>
      </w:pPr>
      <w:r w:rsidRPr="0018338B">
        <w:rPr>
          <w:rtl/>
        </w:rPr>
        <w:t xml:space="preserve">לבדוק את הזנים, איכות הייצור </w:t>
      </w:r>
      <w:proofErr w:type="spellStart"/>
      <w:r w:rsidRPr="0018338B">
        <w:rPr>
          <w:rtl/>
        </w:rPr>
        <w:t>וקריטריוני</w:t>
      </w:r>
      <w:proofErr w:type="spellEnd"/>
      <w:r w:rsidRPr="0018338B">
        <w:rPr>
          <w:rtl/>
        </w:rPr>
        <w:t xml:space="preserve"> ההפסקה של התכשיר המקומי</w:t>
      </w:r>
      <w:r w:rsidRPr="0018338B">
        <w:t xml:space="preserve">. </w:t>
      </w:r>
    </w:p>
    <w:p w14:paraId="2CE0424F" w14:textId="77777777" w:rsidR="0018338B" w:rsidRPr="0018338B" w:rsidRDefault="0018338B" w:rsidP="0018338B">
      <w:pPr>
        <w:numPr>
          <w:ilvl w:val="0"/>
          <w:numId w:val="2"/>
        </w:numPr>
        <w:bidi/>
      </w:pPr>
      <w:r w:rsidRPr="0018338B">
        <w:rPr>
          <w:rtl/>
        </w:rPr>
        <w:t>לבנות</w:t>
      </w:r>
      <w:r w:rsidRPr="0018338B">
        <w:t xml:space="preserve"> audit </w:t>
      </w:r>
      <w:r w:rsidRPr="0018338B">
        <w:rPr>
          <w:rtl/>
        </w:rPr>
        <w:t>משותף לכירורגיה ולנאונטולוגיה לפני ואחרי הטמעת הפרוטוקול</w:t>
      </w:r>
      <w:r w:rsidRPr="0018338B">
        <w:t xml:space="preserve">. </w:t>
      </w:r>
    </w:p>
    <w:p w14:paraId="325C9004" w14:textId="168621FA" w:rsidR="0018338B" w:rsidRPr="0018338B" w:rsidRDefault="0018338B" w:rsidP="0018338B">
      <w:pPr>
        <w:bidi/>
      </w:pPr>
    </w:p>
    <w:p w14:paraId="0BB5FED7" w14:textId="77777777" w:rsidR="00653540" w:rsidRDefault="00653540" w:rsidP="0018338B">
      <w:pPr>
        <w:bidi/>
        <w:rPr>
          <w:b/>
          <w:bCs/>
          <w:rtl/>
        </w:rPr>
      </w:pPr>
    </w:p>
    <w:p w14:paraId="35341924" w14:textId="77777777" w:rsidR="00653540" w:rsidRDefault="00653540" w:rsidP="00653540">
      <w:pPr>
        <w:bidi/>
        <w:rPr>
          <w:b/>
          <w:bCs/>
          <w:rtl/>
        </w:rPr>
      </w:pPr>
    </w:p>
    <w:p w14:paraId="05144194" w14:textId="77777777" w:rsidR="00653540" w:rsidRDefault="00653540" w:rsidP="00653540">
      <w:pPr>
        <w:bidi/>
        <w:rPr>
          <w:b/>
          <w:bCs/>
          <w:rtl/>
        </w:rPr>
      </w:pPr>
    </w:p>
    <w:p w14:paraId="240DAF97" w14:textId="2AB53739" w:rsidR="0018338B" w:rsidRPr="0018338B" w:rsidRDefault="0018338B" w:rsidP="00653540">
      <w:pPr>
        <w:bidi/>
        <w:rPr>
          <w:b/>
          <w:bCs/>
        </w:rPr>
      </w:pPr>
      <w:r w:rsidRPr="0018338B">
        <w:rPr>
          <w:b/>
          <w:bCs/>
          <w:rtl/>
        </w:rPr>
        <w:t>קוליטיס חריפה קשה</w:t>
      </w:r>
      <w:r w:rsidRPr="0018338B">
        <w:rPr>
          <w:b/>
          <w:bCs/>
        </w:rPr>
        <w:t xml:space="preserve">: Upadacitinib </w:t>
      </w:r>
      <w:r w:rsidRPr="0018338B">
        <w:rPr>
          <w:b/>
          <w:bCs/>
          <w:rtl/>
        </w:rPr>
        <w:t>כקו הצלה שלישי לאחר כישלון סטרואידים ו־</w:t>
      </w:r>
      <w:r w:rsidRPr="0018338B">
        <w:rPr>
          <w:b/>
          <w:bCs/>
        </w:rPr>
        <w:t>Infliximab</w:t>
      </w:r>
    </w:p>
    <w:p w14:paraId="3C15E7EE" w14:textId="14CC7989" w:rsidR="0018338B" w:rsidRPr="0018338B" w:rsidRDefault="0018338B" w:rsidP="0018338B">
      <w:pPr>
        <w:bidi/>
      </w:pPr>
      <w:r w:rsidRPr="0018338B">
        <w:rPr>
          <w:rtl/>
        </w:rPr>
        <w:t>המאמר פורסם</w:t>
      </w:r>
      <w:r w:rsidRPr="0018338B">
        <w:t xml:space="preserve"> online-first </w:t>
      </w:r>
      <w:r w:rsidRPr="0018338B">
        <w:rPr>
          <w:rtl/>
        </w:rPr>
        <w:t xml:space="preserve">ב־22 ביולי 2026 בכתב העת </w:t>
      </w:r>
      <w:r w:rsidRPr="0018338B">
        <w:rPr>
          <w:i/>
          <w:iCs/>
        </w:rPr>
        <w:t>Inflammatory Bowel Diseases</w:t>
      </w:r>
      <w:r w:rsidRPr="0018338B">
        <w:t xml:space="preserve"> </w:t>
      </w:r>
      <w:r w:rsidR="00653540">
        <w:rPr>
          <w:rFonts w:hint="cs"/>
          <w:rtl/>
        </w:rPr>
        <w:t xml:space="preserve"> </w:t>
      </w:r>
      <w:r w:rsidRPr="0018338B">
        <w:rPr>
          <w:rtl/>
        </w:rPr>
        <w:t>על ידי</w:t>
      </w:r>
      <w:r w:rsidRPr="0018338B">
        <w:t xml:space="preserve"> Ünal, Bakkaloğlu </w:t>
      </w:r>
      <w:r w:rsidRPr="0018338B">
        <w:rPr>
          <w:rtl/>
        </w:rPr>
        <w:t>ועמיתיהם. כותרתו</w:t>
      </w:r>
      <w:r w:rsidRPr="0018338B">
        <w:t>:</w:t>
      </w:r>
    </w:p>
    <w:p w14:paraId="2F6F7884" w14:textId="77777777" w:rsidR="0018338B" w:rsidRPr="0018338B" w:rsidRDefault="0018338B" w:rsidP="0018338B">
      <w:pPr>
        <w:bidi/>
      </w:pPr>
      <w:r w:rsidRPr="0018338B">
        <w:rPr>
          <w:b/>
          <w:bCs/>
        </w:rPr>
        <w:t>Upadacitinib as a rescue therapy for steroid- and infliximab-refractory acute severe ulcerative colitis: short- and long-term effectiveness and safety in a multicenter cohort study.</w:t>
      </w:r>
    </w:p>
    <w:p w14:paraId="626F3EBC" w14:textId="77777777" w:rsidR="0018338B" w:rsidRPr="0018338B" w:rsidRDefault="0018338B" w:rsidP="0018338B">
      <w:pPr>
        <w:bidi/>
      </w:pPr>
      <w:r w:rsidRPr="0018338B">
        <w:rPr>
          <w:rtl/>
        </w:rPr>
        <w:t>הציטוט המלא</w:t>
      </w:r>
      <w:r w:rsidRPr="0018338B">
        <w:t>:</w:t>
      </w:r>
      <w:r w:rsidRPr="0018338B">
        <w:br/>
        <w:t xml:space="preserve">Ünal NG, Bakkaloğlu OK, Kav T, et al. </w:t>
      </w:r>
      <w:r w:rsidRPr="0018338B">
        <w:rPr>
          <w:i/>
          <w:iCs/>
        </w:rPr>
        <w:t>Inflammatory Bowel Diseases.</w:t>
      </w:r>
      <w:r w:rsidRPr="0018338B">
        <w:t xml:space="preserve"> Published online July 22, 2026. doi:10.1093/ibd/izag126. </w:t>
      </w:r>
      <w:r w:rsidRPr="0018338B">
        <w:fldChar w:fldCharType="begin"/>
      </w:r>
      <w:r w:rsidRPr="0018338B">
        <w:instrText>HYPERLINK "https://academic.oup.com/ibdjournal/advance-article/doi/10.1093/ibd/izag126/8739926?utm_source=chatgpt.com" \t "_new"</w:instrText>
      </w:r>
      <w:r w:rsidRPr="0018338B">
        <w:fldChar w:fldCharType="separate"/>
      </w:r>
      <w:r w:rsidRPr="0018338B">
        <w:rPr>
          <w:rStyle w:val="Hyperlink"/>
          <w:rtl/>
        </w:rPr>
        <w:t>קישור למאמר</w:t>
      </w:r>
      <w:r w:rsidRPr="0018338B">
        <w:fldChar w:fldCharType="end"/>
      </w:r>
    </w:p>
    <w:p w14:paraId="60C6A9E1" w14:textId="77777777" w:rsidR="0018338B" w:rsidRPr="0018338B" w:rsidRDefault="0018338B" w:rsidP="0018338B">
      <w:pPr>
        <w:bidi/>
      </w:pPr>
      <w:r w:rsidRPr="0018338B">
        <w:rPr>
          <w:rtl/>
        </w:rPr>
        <w:t>חשוב לציין כי המחקר נערך במבוגרים. הרלוונטיות לילדים ולמתבגרים היא עקיפה, ולא ניתן להעתיק את תוצאותיו ישירות לפרקטיקה הפדיאטרית</w:t>
      </w:r>
      <w:r w:rsidRPr="0018338B">
        <w:t>.</w:t>
      </w:r>
    </w:p>
    <w:p w14:paraId="4070190B" w14:textId="77777777" w:rsidR="0018338B" w:rsidRPr="0018338B" w:rsidRDefault="0018338B" w:rsidP="0018338B">
      <w:pPr>
        <w:bidi/>
        <w:rPr>
          <w:b/>
          <w:bCs/>
        </w:rPr>
      </w:pPr>
      <w:r w:rsidRPr="0018338B">
        <w:rPr>
          <w:b/>
          <w:bCs/>
          <w:rtl/>
        </w:rPr>
        <w:t>מה היה הרקע</w:t>
      </w:r>
      <w:r w:rsidRPr="0018338B">
        <w:rPr>
          <w:b/>
          <w:bCs/>
        </w:rPr>
        <w:t>?</w:t>
      </w:r>
    </w:p>
    <w:p w14:paraId="277DA1F3" w14:textId="749A0044" w:rsidR="0018338B" w:rsidRPr="0018338B" w:rsidRDefault="0018338B" w:rsidP="0018338B">
      <w:pPr>
        <w:bidi/>
      </w:pPr>
      <w:r w:rsidRPr="0018338B">
        <w:rPr>
          <w:rtl/>
        </w:rPr>
        <w:t>הטיפול המקובל ב־</w:t>
      </w:r>
      <w:r w:rsidRPr="0018338B">
        <w:t xml:space="preserve">acute severe ulcerative colitis </w:t>
      </w:r>
      <w:r w:rsidR="00653540">
        <w:rPr>
          <w:rFonts w:hint="cs"/>
          <w:rtl/>
        </w:rPr>
        <w:t xml:space="preserve"> </w:t>
      </w:r>
      <w:r w:rsidRPr="0018338B">
        <w:rPr>
          <w:rtl/>
        </w:rPr>
        <w:t xml:space="preserve">מתחיל בסטרואידים </w:t>
      </w:r>
      <w:proofErr w:type="spellStart"/>
      <w:r w:rsidRPr="0018338B">
        <w:rPr>
          <w:rtl/>
        </w:rPr>
        <w:t>תוך־ורידיים</w:t>
      </w:r>
      <w:proofErr w:type="spellEnd"/>
      <w:r w:rsidRPr="0018338B">
        <w:rPr>
          <w:rtl/>
        </w:rPr>
        <w:t>. בחולים שאינם מגיבים בתוך ימים ספורים מקובל לעבור לטיפול הצלה באמצעות</w:t>
      </w:r>
      <w:r w:rsidRPr="0018338B">
        <w:t xml:space="preserve"> infliximab </w:t>
      </w:r>
      <w:r w:rsidRPr="0018338B">
        <w:rPr>
          <w:rtl/>
        </w:rPr>
        <w:t>או</w:t>
      </w:r>
      <w:r w:rsidRPr="0018338B">
        <w:t xml:space="preserve"> ciclosporin. </w:t>
      </w:r>
      <w:r w:rsidR="00653540">
        <w:rPr>
          <w:rFonts w:hint="cs"/>
          <w:rtl/>
        </w:rPr>
        <w:t xml:space="preserve"> </w:t>
      </w:r>
      <w:r w:rsidRPr="0018338B">
        <w:rPr>
          <w:rtl/>
        </w:rPr>
        <w:t>כאשר גם טיפול ההצלה נכשל, האפשרות הבאה היא בדרך כלל כריתת המעי הגס</w:t>
      </w:r>
      <w:r w:rsidRPr="0018338B">
        <w:t>.</w:t>
      </w:r>
    </w:p>
    <w:p w14:paraId="19BAB0C9" w14:textId="64B9CA45" w:rsidR="0018338B" w:rsidRPr="0018338B" w:rsidRDefault="0018338B" w:rsidP="0018338B">
      <w:pPr>
        <w:bidi/>
      </w:pPr>
      <w:r w:rsidRPr="0018338B">
        <w:t>Upadacitinib</w:t>
      </w:r>
      <w:r w:rsidR="00653540">
        <w:rPr>
          <w:rFonts w:hint="cs"/>
          <w:rtl/>
        </w:rPr>
        <w:t xml:space="preserve"> </w:t>
      </w:r>
      <w:r w:rsidRPr="0018338B">
        <w:rPr>
          <w:rtl/>
        </w:rPr>
        <w:t>המוכר בשם המסחרי</w:t>
      </w:r>
      <w:r w:rsidRPr="0018338B">
        <w:t xml:space="preserve"> Rinvoq </w:t>
      </w:r>
      <w:r w:rsidRPr="0018338B">
        <w:rPr>
          <w:rtl/>
        </w:rPr>
        <w:t>הוא מעכב סלקטיבי יחסית של</w:t>
      </w:r>
      <w:r w:rsidRPr="0018338B">
        <w:t xml:space="preserve"> JAK1 </w:t>
      </w:r>
      <w:r w:rsidR="00653540">
        <w:rPr>
          <w:rFonts w:hint="cs"/>
          <w:rtl/>
        </w:rPr>
        <w:t xml:space="preserve">. </w:t>
      </w:r>
      <w:r w:rsidRPr="0018338B">
        <w:rPr>
          <w:rtl/>
        </w:rPr>
        <w:t xml:space="preserve">לתרופה כמה מאפיינים שעשויים להתאים לטיפול בקוליטיס חריפה: תחילת פעולה מהירה, מתן </w:t>
      </w:r>
      <w:proofErr w:type="spellStart"/>
      <w:r w:rsidRPr="0018338B">
        <w:rPr>
          <w:rtl/>
        </w:rPr>
        <w:t>פומי</w:t>
      </w:r>
      <w:proofErr w:type="spellEnd"/>
      <w:r w:rsidRPr="0018338B">
        <w:rPr>
          <w:rtl/>
        </w:rPr>
        <w:t>, זמן מחצית חיים קצר, היעדר</w:t>
      </w:r>
      <w:r w:rsidRPr="0018338B">
        <w:t xml:space="preserve"> immunogenicity </w:t>
      </w:r>
      <w:proofErr w:type="spellStart"/>
      <w:r w:rsidRPr="0018338B">
        <w:rPr>
          <w:rtl/>
        </w:rPr>
        <w:t>ופרמקוקינטיקה</w:t>
      </w:r>
      <w:proofErr w:type="spellEnd"/>
      <w:r w:rsidRPr="0018338B">
        <w:rPr>
          <w:rtl/>
        </w:rPr>
        <w:t xml:space="preserve"> שאינה תלויה באובדן תרופה דרך רירית מעי מודלקת באותה צורה שבה עלול להיפגע הטיפול ב־</w:t>
      </w:r>
      <w:r w:rsidRPr="0018338B">
        <w:t>infliximab</w:t>
      </w:r>
    </w:p>
    <w:p w14:paraId="2A1CC9C4" w14:textId="77777777" w:rsidR="0018338B" w:rsidRPr="0018338B" w:rsidRDefault="0018338B" w:rsidP="0018338B">
      <w:pPr>
        <w:bidi/>
      </w:pPr>
      <w:r w:rsidRPr="0018338B">
        <w:rPr>
          <w:rtl/>
        </w:rPr>
        <w:t>מצד שני, הכנסת טיפול שלישי עלולה לדחות ניתוח בחולה שמצבו ממשיך להחמיר. לכן השאלה אינה רק אם התרופה עשויה לעבוד, אלא גם כמה מהר ניתן לזהות תגובה או כישלון</w:t>
      </w:r>
      <w:r w:rsidRPr="0018338B">
        <w:t>.</w:t>
      </w:r>
    </w:p>
    <w:p w14:paraId="2D752744" w14:textId="77777777" w:rsidR="0018338B" w:rsidRPr="0018338B" w:rsidRDefault="0018338B" w:rsidP="0018338B">
      <w:pPr>
        <w:bidi/>
        <w:rPr>
          <w:b/>
          <w:bCs/>
        </w:rPr>
      </w:pPr>
      <w:r w:rsidRPr="0018338B">
        <w:rPr>
          <w:b/>
          <w:bCs/>
          <w:rtl/>
        </w:rPr>
        <w:t>מה המחקר בדק</w:t>
      </w:r>
      <w:r w:rsidRPr="0018338B">
        <w:rPr>
          <w:b/>
          <w:bCs/>
        </w:rPr>
        <w:t>?</w:t>
      </w:r>
    </w:p>
    <w:p w14:paraId="027024FD" w14:textId="4691B167" w:rsidR="0018338B" w:rsidRPr="0018338B" w:rsidRDefault="0018338B" w:rsidP="0018338B">
      <w:pPr>
        <w:bidi/>
      </w:pPr>
      <w:r w:rsidRPr="0018338B">
        <w:rPr>
          <w:rtl/>
        </w:rPr>
        <w:t>המחקר כלל 50 חולים שאושפזו עם</w:t>
      </w:r>
      <w:r w:rsidRPr="0018338B">
        <w:t xml:space="preserve"> acute severe ulcerative colitis </w:t>
      </w:r>
      <w:r w:rsidRPr="0018338B">
        <w:rPr>
          <w:rtl/>
        </w:rPr>
        <w:t>ב־11 מרכזים. הם קיבלו</w:t>
      </w:r>
      <w:r w:rsidRPr="0018338B">
        <w:t xml:space="preserve"> upadacitinib </w:t>
      </w:r>
      <w:r w:rsidR="00653540">
        <w:rPr>
          <w:rFonts w:hint="cs"/>
          <w:rtl/>
        </w:rPr>
        <w:t xml:space="preserve"> </w:t>
      </w:r>
      <w:r w:rsidRPr="0018338B">
        <w:rPr>
          <w:rtl/>
        </w:rPr>
        <w:t xml:space="preserve">לאחר כישלון, </w:t>
      </w:r>
      <w:proofErr w:type="spellStart"/>
      <w:r w:rsidRPr="0018338B">
        <w:rPr>
          <w:rtl/>
        </w:rPr>
        <w:t>אי־סבילות</w:t>
      </w:r>
      <w:proofErr w:type="spellEnd"/>
      <w:r w:rsidRPr="0018338B">
        <w:rPr>
          <w:rtl/>
        </w:rPr>
        <w:t xml:space="preserve"> או תגובה חלקית לסטרואידים </w:t>
      </w:r>
      <w:proofErr w:type="spellStart"/>
      <w:r w:rsidRPr="0018338B">
        <w:rPr>
          <w:rtl/>
        </w:rPr>
        <w:t>תוך־ורידיים</w:t>
      </w:r>
      <w:proofErr w:type="spellEnd"/>
      <w:r w:rsidRPr="0018338B">
        <w:rPr>
          <w:rtl/>
        </w:rPr>
        <w:t xml:space="preserve"> </w:t>
      </w:r>
      <w:proofErr w:type="spellStart"/>
      <w:r w:rsidRPr="0018338B">
        <w:rPr>
          <w:rtl/>
        </w:rPr>
        <w:t>ול</w:t>
      </w:r>
      <w:proofErr w:type="spellEnd"/>
      <w:r w:rsidRPr="0018338B">
        <w:rPr>
          <w:rtl/>
        </w:rPr>
        <w:t>־</w:t>
      </w:r>
      <w:r w:rsidRPr="0018338B">
        <w:t>infliximab.</w:t>
      </w:r>
    </w:p>
    <w:p w14:paraId="2347A3C0" w14:textId="2555DCA9" w:rsidR="0018338B" w:rsidRPr="0018338B" w:rsidRDefault="0018338B" w:rsidP="0018338B">
      <w:pPr>
        <w:bidi/>
      </w:pPr>
      <w:r w:rsidRPr="0018338B">
        <w:t xml:space="preserve">86% </w:t>
      </w:r>
      <w:r w:rsidR="00653540">
        <w:rPr>
          <w:rFonts w:hint="cs"/>
          <w:rtl/>
        </w:rPr>
        <w:t xml:space="preserve"> </w:t>
      </w:r>
      <w:r w:rsidRPr="0018338B">
        <w:rPr>
          <w:rtl/>
        </w:rPr>
        <w:t>מהחולים נחשפו בעבר ל־</w:t>
      </w:r>
      <w:r w:rsidRPr="0018338B">
        <w:t xml:space="preserve">infliximab </w:t>
      </w:r>
      <w:r w:rsidR="00653540">
        <w:rPr>
          <w:rFonts w:hint="cs"/>
          <w:rtl/>
        </w:rPr>
        <w:t xml:space="preserve"> </w:t>
      </w:r>
      <w:r w:rsidRPr="0018338B">
        <w:rPr>
          <w:rtl/>
        </w:rPr>
        <w:t>ויותר ממחצית כבר קיבלו לפחות שתי תרופות ביולוגיות. כלומר, מדובר באוכלוסייה בעלת מחלה עמידה מאוד</w:t>
      </w:r>
      <w:r w:rsidRPr="0018338B">
        <w:t>.</w:t>
      </w:r>
    </w:p>
    <w:p w14:paraId="0E61CC2E" w14:textId="77777777" w:rsidR="0018338B" w:rsidRPr="0018338B" w:rsidRDefault="0018338B" w:rsidP="0018338B">
      <w:pPr>
        <w:bidi/>
      </w:pPr>
      <w:r w:rsidRPr="0018338B">
        <w:rPr>
          <w:rtl/>
        </w:rPr>
        <w:t>החולים קיבלו בתחילת הדרך</w:t>
      </w:r>
      <w:r w:rsidRPr="0018338B">
        <w:t xml:space="preserve"> upadacitinib </w:t>
      </w:r>
      <w:r w:rsidRPr="0018338B">
        <w:rPr>
          <w:rtl/>
        </w:rPr>
        <w:t xml:space="preserve">במינון של 45 מ״ג ליום למשך שמונה שבועות. החוקרים עקבו אחר תדירות היציאות, דימום </w:t>
      </w:r>
      <w:proofErr w:type="spellStart"/>
      <w:r w:rsidRPr="0018338B">
        <w:rPr>
          <w:rtl/>
        </w:rPr>
        <w:t>רקטלי</w:t>
      </w:r>
      <w:proofErr w:type="spellEnd"/>
      <w:r w:rsidRPr="0018338B">
        <w:t xml:space="preserve">, CRP, </w:t>
      </w:r>
      <w:r w:rsidRPr="0018338B">
        <w:rPr>
          <w:rtl/>
        </w:rPr>
        <w:t>תגובה והפוגה קליניות, המשך הטיפול והצורך בכריתת מעי במשך 48 שבועות</w:t>
      </w:r>
      <w:r w:rsidRPr="0018338B">
        <w:t>.</w:t>
      </w:r>
    </w:p>
    <w:p w14:paraId="58E2B981" w14:textId="77777777" w:rsidR="0018338B" w:rsidRPr="0018338B" w:rsidRDefault="0018338B" w:rsidP="0018338B">
      <w:pPr>
        <w:bidi/>
        <w:rPr>
          <w:b/>
          <w:bCs/>
        </w:rPr>
      </w:pPr>
      <w:r w:rsidRPr="0018338B">
        <w:rPr>
          <w:b/>
          <w:bCs/>
          <w:rtl/>
        </w:rPr>
        <w:t>מה היו התוצאות</w:t>
      </w:r>
      <w:r w:rsidRPr="0018338B">
        <w:rPr>
          <w:b/>
          <w:bCs/>
        </w:rPr>
        <w:t>?</w:t>
      </w:r>
    </w:p>
    <w:p w14:paraId="0CF37DEE" w14:textId="69FEFD48" w:rsidR="0018338B" w:rsidRPr="0018338B" w:rsidRDefault="0018338B" w:rsidP="0018338B">
      <w:pPr>
        <w:bidi/>
      </w:pPr>
      <w:r w:rsidRPr="0018338B">
        <w:rPr>
          <w:rtl/>
        </w:rPr>
        <w:t xml:space="preserve">כבר לאחר שבוע נצפתה תגובה קלינית ב־60% מהחולים, ו־30% הגיעו להפוגה קלינית. השיפור בתדירות היציאות, בדימום </w:t>
      </w:r>
      <w:proofErr w:type="spellStart"/>
      <w:r w:rsidRPr="0018338B">
        <w:rPr>
          <w:rtl/>
        </w:rPr>
        <w:t>וב</w:t>
      </w:r>
      <w:proofErr w:type="spellEnd"/>
      <w:r w:rsidRPr="0018338B">
        <w:rPr>
          <w:rtl/>
        </w:rPr>
        <w:t>־</w:t>
      </w:r>
      <w:r w:rsidRPr="0018338B">
        <w:t xml:space="preserve">CRP </w:t>
      </w:r>
      <w:r w:rsidR="00653540">
        <w:rPr>
          <w:rFonts w:hint="cs"/>
          <w:rtl/>
        </w:rPr>
        <w:t xml:space="preserve"> </w:t>
      </w:r>
      <w:r w:rsidRPr="0018338B">
        <w:rPr>
          <w:rtl/>
        </w:rPr>
        <w:t>הופיע במהירות ונשמר אצל החולים שהמשיכו להגיב</w:t>
      </w:r>
      <w:r w:rsidRPr="0018338B">
        <w:t>.</w:t>
      </w:r>
    </w:p>
    <w:p w14:paraId="7432D4CC" w14:textId="77777777" w:rsidR="0018338B" w:rsidRPr="0018338B" w:rsidRDefault="0018338B" w:rsidP="0018338B">
      <w:pPr>
        <w:bidi/>
      </w:pPr>
      <w:r w:rsidRPr="0018338B">
        <w:rPr>
          <w:rtl/>
        </w:rPr>
        <w:lastRenderedPageBreak/>
        <w:t>במהלך 48 שבועות, 11 מתוך 50 חולים עברו</w:t>
      </w:r>
      <w:r w:rsidRPr="0018338B">
        <w:t xml:space="preserve"> colectomy — </w:t>
      </w:r>
      <w:r w:rsidRPr="0018338B">
        <w:rPr>
          <w:rtl/>
        </w:rPr>
        <w:t>שיעור של 22%. כמעט מחצית מהניתוחים התרחשו כבר במהלך השבוע הראשון לטיפול</w:t>
      </w:r>
      <w:r w:rsidRPr="0018338B">
        <w:t>.</w:t>
      </w:r>
    </w:p>
    <w:p w14:paraId="5D1A7EEF" w14:textId="77777777" w:rsidR="0018338B" w:rsidRPr="0018338B" w:rsidRDefault="0018338B" w:rsidP="0018338B">
      <w:pPr>
        <w:bidi/>
      </w:pPr>
      <w:r w:rsidRPr="0018338B">
        <w:rPr>
          <w:rtl/>
        </w:rPr>
        <w:t>בשבוע 48, שיעור ההפוגה הקלינית היה 51%. עם זאת, רק 52% מהחולים עדיין קיבלו את התרופה. הסיבות להפסקתה כללו חוסר תגובה ראשוני ואובדן תגובה בהמשך</w:t>
      </w:r>
      <w:r w:rsidRPr="0018338B">
        <w:t>.</w:t>
      </w:r>
    </w:p>
    <w:p w14:paraId="5C847528" w14:textId="77777777" w:rsidR="0018338B" w:rsidRPr="0018338B" w:rsidRDefault="0018338B" w:rsidP="0018338B">
      <w:pPr>
        <w:bidi/>
      </w:pPr>
      <w:r w:rsidRPr="0018338B">
        <w:rPr>
          <w:rtl/>
        </w:rPr>
        <w:t>תופעות לוואי שיוחסו לטיפול תועדו ב־24% מהחולים, ורובן לא היו חמורות. לא תועדו אירועי פקקת ורידים, אך החולים קיבלו טיפול מניעתי ב־</w:t>
      </w:r>
      <w:r w:rsidRPr="0018338B">
        <w:t>low-molecular-weight heparin.</w:t>
      </w:r>
    </w:p>
    <w:p w14:paraId="608F73AB" w14:textId="7647B4B4" w:rsidR="0018338B" w:rsidRPr="0018338B" w:rsidRDefault="0018338B" w:rsidP="0018338B">
      <w:pPr>
        <w:bidi/>
      </w:pPr>
      <w:r w:rsidRPr="0018338B">
        <w:t xml:space="preserve">CRP </w:t>
      </w:r>
      <w:r w:rsidR="00653540">
        <w:rPr>
          <w:rFonts w:hint="cs"/>
          <w:rtl/>
        </w:rPr>
        <w:t xml:space="preserve"> </w:t>
      </w:r>
      <w:r w:rsidRPr="0018338B">
        <w:rPr>
          <w:rtl/>
        </w:rPr>
        <w:t>גבוה בתחילת הטיפול היה קשור לסיכון מוגבר לכריתת מעי. ערך סף של 32 מ״ג לליטר זיהה חולים שהתקדמו לניתוח ברגישות של 82%, אך בסגוליות של 65% בלבד. זהו אפוא אות אזהרה אפשרי, לא כלי החלטה עצמאי</w:t>
      </w:r>
      <w:r w:rsidRPr="0018338B">
        <w:t>.</w:t>
      </w:r>
    </w:p>
    <w:p w14:paraId="7A5555C9" w14:textId="77777777" w:rsidR="0018338B" w:rsidRPr="0018338B" w:rsidRDefault="0018338B" w:rsidP="0018338B">
      <w:pPr>
        <w:bidi/>
        <w:rPr>
          <w:b/>
          <w:bCs/>
        </w:rPr>
      </w:pPr>
      <w:r w:rsidRPr="0018338B">
        <w:rPr>
          <w:b/>
          <w:bCs/>
          <w:rtl/>
        </w:rPr>
        <w:t>ה־</w:t>
      </w:r>
      <w:r w:rsidRPr="0018338B">
        <w:rPr>
          <w:b/>
          <w:bCs/>
        </w:rPr>
        <w:t>Take-home message</w:t>
      </w:r>
    </w:p>
    <w:p w14:paraId="36C90B16" w14:textId="0222BE25" w:rsidR="0018338B" w:rsidRPr="0018338B" w:rsidRDefault="0018338B" w:rsidP="0018338B">
      <w:pPr>
        <w:bidi/>
      </w:pPr>
      <w:r w:rsidRPr="0018338B">
        <w:rPr>
          <w:b/>
          <w:bCs/>
        </w:rPr>
        <w:t xml:space="preserve">Upadacitinib </w:t>
      </w:r>
      <w:r w:rsidR="00653540">
        <w:rPr>
          <w:rFonts w:hint="cs"/>
          <w:b/>
          <w:bCs/>
          <w:rtl/>
        </w:rPr>
        <w:t xml:space="preserve"> </w:t>
      </w:r>
      <w:r w:rsidRPr="0018338B">
        <w:rPr>
          <w:b/>
          <w:bCs/>
          <w:rtl/>
        </w:rPr>
        <w:t>עשוי לשמש טיפול הצלה שלישי בחולה יציב עם קוליטיס חריפה קשה לאחר כישלון סטרואידים ו־</w:t>
      </w:r>
      <w:r w:rsidRPr="0018338B">
        <w:rPr>
          <w:b/>
          <w:bCs/>
        </w:rPr>
        <w:t xml:space="preserve">infliximab, </w:t>
      </w:r>
      <w:r w:rsidR="00653540">
        <w:rPr>
          <w:rFonts w:hint="cs"/>
          <w:b/>
          <w:bCs/>
          <w:rtl/>
        </w:rPr>
        <w:t xml:space="preserve"> </w:t>
      </w:r>
      <w:r w:rsidRPr="0018338B">
        <w:rPr>
          <w:b/>
          <w:bCs/>
          <w:rtl/>
        </w:rPr>
        <w:t>אך התגובה או הכישלון מתבררים בדרך כלל במהירות, ולכן ניסיון כזה חייב להיות מוגבל בזמן ולהתקיים במקביל להיערכות לניתוח</w:t>
      </w:r>
      <w:r w:rsidRPr="0018338B">
        <w:rPr>
          <w:b/>
          <w:bCs/>
        </w:rPr>
        <w:t>.</w:t>
      </w:r>
    </w:p>
    <w:p w14:paraId="59BB29A0" w14:textId="77777777" w:rsidR="0018338B" w:rsidRPr="0018338B" w:rsidRDefault="0018338B" w:rsidP="0018338B">
      <w:pPr>
        <w:bidi/>
      </w:pPr>
      <w:r w:rsidRPr="0018338B">
        <w:rPr>
          <w:rtl/>
        </w:rPr>
        <w:t>המחקר אינו מוכיח שהתרופה מונעת</w:t>
      </w:r>
      <w:r w:rsidRPr="0018338B">
        <w:t xml:space="preserve"> colectomy. </w:t>
      </w:r>
      <w:r w:rsidRPr="0018338B">
        <w:rPr>
          <w:rtl/>
        </w:rPr>
        <w:t>הוא מראה שבאוכלוסייה נבחרת ניתן לעיתים להשיג תגובה מהירה ולהימנע מניתוח, לפחות בטווח הקצר והבינוני</w:t>
      </w:r>
      <w:r w:rsidRPr="0018338B">
        <w:t>.</w:t>
      </w:r>
    </w:p>
    <w:p w14:paraId="7C38C8C5" w14:textId="77777777" w:rsidR="0018338B" w:rsidRPr="0018338B" w:rsidRDefault="0018338B" w:rsidP="0018338B">
      <w:pPr>
        <w:bidi/>
        <w:rPr>
          <w:b/>
          <w:bCs/>
        </w:rPr>
      </w:pPr>
      <w:r w:rsidRPr="0018338B">
        <w:rPr>
          <w:b/>
          <w:bCs/>
          <w:rtl/>
        </w:rPr>
        <w:t>חוזק הראיות והמגבלה העיקרית</w:t>
      </w:r>
    </w:p>
    <w:p w14:paraId="297B321E" w14:textId="77777777" w:rsidR="0018338B" w:rsidRPr="0018338B" w:rsidRDefault="0018338B" w:rsidP="0018338B">
      <w:pPr>
        <w:bidi/>
      </w:pPr>
      <w:r w:rsidRPr="0018338B">
        <w:rPr>
          <w:rtl/>
        </w:rPr>
        <w:t>החוזקות הן איסוף נתונים מ־11 מרכזים, אוכלוסייה בעלת מחלה עמידה ומעקב של עד 48 שבועות. נתוני השבוע הראשון מספקים מידע חשוב על מהירות התגובה ועל הצורך בזיהוי מוקדם של כישלון</w:t>
      </w:r>
      <w:r w:rsidRPr="0018338B">
        <w:t>.</w:t>
      </w:r>
    </w:p>
    <w:p w14:paraId="763E68CF" w14:textId="77777777" w:rsidR="0018338B" w:rsidRPr="0018338B" w:rsidRDefault="0018338B" w:rsidP="0018338B">
      <w:pPr>
        <w:bidi/>
      </w:pPr>
      <w:r w:rsidRPr="0018338B">
        <w:rPr>
          <w:rtl/>
        </w:rPr>
        <w:t>עם זאת, זהו מחקר רטרוספקטיבי ללא קבוצת ביקורת. ההחלטות על מתן התרופה, על טיפולים נלווים ועל מועד הניתוח לא היו אחידות. ייתכן שחולים יציבים יותר קיבלו זמן נוסף להגיב, בעוד שחולים קשים יותר נותחו מוקדם. לכן שיעור</w:t>
      </w:r>
      <w:r w:rsidRPr="0018338B">
        <w:t xml:space="preserve"> colectomy </w:t>
      </w:r>
      <w:r w:rsidRPr="0018338B">
        <w:rPr>
          <w:rtl/>
        </w:rPr>
        <w:t>של 22% אינו יכול להיות מיוחס בוודאות ליעילות התרופה</w:t>
      </w:r>
      <w:r w:rsidRPr="0018338B">
        <w:t>.</w:t>
      </w:r>
    </w:p>
    <w:p w14:paraId="5347CB14" w14:textId="77777777" w:rsidR="0018338B" w:rsidRPr="0018338B" w:rsidRDefault="0018338B" w:rsidP="0018338B">
      <w:pPr>
        <w:bidi/>
      </w:pPr>
      <w:r w:rsidRPr="0018338B">
        <w:rPr>
          <w:rtl/>
        </w:rPr>
        <w:t>בנוסף, המחקר לא תיעד באופן מסודר את המרווח בין המנה האחרונה לבין הניתוח ואת התוצאות שלאחר</w:t>
      </w:r>
      <w:r w:rsidRPr="0018338B">
        <w:t xml:space="preserve"> colectomy. </w:t>
      </w:r>
      <w:r w:rsidRPr="0018338B">
        <w:rPr>
          <w:rtl/>
        </w:rPr>
        <w:t>עדיין אין ממנו תשובה מספקת לגבי השפעת חשיפה סמוכה ל־</w:t>
      </w:r>
      <w:r w:rsidRPr="0018338B">
        <w:t xml:space="preserve">upadacitinib </w:t>
      </w:r>
      <w:r w:rsidRPr="0018338B">
        <w:rPr>
          <w:rtl/>
        </w:rPr>
        <w:t>על זיהומים, ריפוי פצעים וסיבוכים ניתוחיים</w:t>
      </w:r>
      <w:r w:rsidRPr="0018338B">
        <w:t>.</w:t>
      </w:r>
    </w:p>
    <w:p w14:paraId="04469E1A" w14:textId="77777777" w:rsidR="0018338B" w:rsidRPr="0018338B" w:rsidRDefault="0018338B" w:rsidP="0018338B">
      <w:pPr>
        <w:bidi/>
        <w:rPr>
          <w:b/>
          <w:bCs/>
        </w:rPr>
      </w:pPr>
      <w:r w:rsidRPr="0018338B">
        <w:rPr>
          <w:b/>
          <w:bCs/>
          <w:rtl/>
        </w:rPr>
        <w:t>איך לקחת את זה הלאה</w:t>
      </w:r>
      <w:r w:rsidRPr="0018338B">
        <w:rPr>
          <w:b/>
          <w:bCs/>
        </w:rPr>
        <w:t>?</w:t>
      </w:r>
    </w:p>
    <w:p w14:paraId="242C0B23" w14:textId="77777777" w:rsidR="0018338B" w:rsidRPr="0018338B" w:rsidRDefault="0018338B" w:rsidP="0018338B">
      <w:pPr>
        <w:numPr>
          <w:ilvl w:val="0"/>
          <w:numId w:val="3"/>
        </w:numPr>
        <w:bidi/>
      </w:pPr>
      <w:r w:rsidRPr="0018338B">
        <w:rPr>
          <w:rtl/>
        </w:rPr>
        <w:t>לערב כירורגיה כבר בתחילת טיפול ההצלה, ולא רק לאחר מיצוי כל האפשרויות</w:t>
      </w:r>
      <w:r w:rsidRPr="0018338B">
        <w:t xml:space="preserve">. </w:t>
      </w:r>
    </w:p>
    <w:p w14:paraId="48B40053" w14:textId="77777777" w:rsidR="0018338B" w:rsidRPr="0018338B" w:rsidRDefault="0018338B" w:rsidP="0018338B">
      <w:pPr>
        <w:numPr>
          <w:ilvl w:val="0"/>
          <w:numId w:val="3"/>
        </w:numPr>
        <w:bidi/>
      </w:pPr>
      <w:r w:rsidRPr="0018338B">
        <w:rPr>
          <w:rtl/>
        </w:rPr>
        <w:t>להגדיר מראש מועד להערכת תגובה וקריטריונים ברורים למעבר לניתוח</w:t>
      </w:r>
      <w:r w:rsidRPr="0018338B">
        <w:t xml:space="preserve">. </w:t>
      </w:r>
    </w:p>
    <w:p w14:paraId="3C7D5C59" w14:textId="77777777" w:rsidR="0018338B" w:rsidRPr="0018338B" w:rsidRDefault="0018338B" w:rsidP="0018338B">
      <w:pPr>
        <w:numPr>
          <w:ilvl w:val="0"/>
          <w:numId w:val="3"/>
        </w:numPr>
        <w:bidi/>
      </w:pPr>
      <w:r w:rsidRPr="0018338B">
        <w:rPr>
          <w:rtl/>
        </w:rPr>
        <w:t>להקים</w:t>
      </w:r>
      <w:r w:rsidRPr="0018338B">
        <w:t xml:space="preserve"> registry </w:t>
      </w:r>
      <w:r w:rsidRPr="0018338B">
        <w:rPr>
          <w:rtl/>
        </w:rPr>
        <w:t>משותף לילדים עם קוליטיס חריפה קשה המקבלים</w:t>
      </w:r>
      <w:r w:rsidRPr="0018338B">
        <w:t xml:space="preserve"> JAK inhibitors. </w:t>
      </w:r>
    </w:p>
    <w:p w14:paraId="304CA743" w14:textId="09E5400D" w:rsidR="0018338B" w:rsidRPr="0018338B" w:rsidRDefault="0018338B" w:rsidP="0018338B">
      <w:pPr>
        <w:bidi/>
      </w:pPr>
    </w:p>
    <w:p w14:paraId="2441EB4C" w14:textId="77777777" w:rsidR="00653540" w:rsidRDefault="00653540" w:rsidP="0018338B">
      <w:pPr>
        <w:bidi/>
        <w:rPr>
          <w:b/>
          <w:bCs/>
          <w:rtl/>
        </w:rPr>
      </w:pPr>
    </w:p>
    <w:p w14:paraId="00BC962A" w14:textId="77777777" w:rsidR="00653540" w:rsidRDefault="00653540" w:rsidP="00653540">
      <w:pPr>
        <w:bidi/>
        <w:rPr>
          <w:b/>
          <w:bCs/>
          <w:rtl/>
        </w:rPr>
      </w:pPr>
    </w:p>
    <w:p w14:paraId="7AA194D4" w14:textId="77777777" w:rsidR="00653540" w:rsidRDefault="00653540" w:rsidP="00653540">
      <w:pPr>
        <w:bidi/>
        <w:rPr>
          <w:b/>
          <w:bCs/>
          <w:rtl/>
        </w:rPr>
      </w:pPr>
    </w:p>
    <w:p w14:paraId="20810674" w14:textId="77777777" w:rsidR="00653540" w:rsidRDefault="00653540" w:rsidP="00653540">
      <w:pPr>
        <w:bidi/>
        <w:rPr>
          <w:b/>
          <w:bCs/>
          <w:rtl/>
        </w:rPr>
      </w:pPr>
    </w:p>
    <w:p w14:paraId="07B98285" w14:textId="23D79522" w:rsidR="0018338B" w:rsidRPr="0018338B" w:rsidRDefault="0018338B" w:rsidP="00653540">
      <w:pPr>
        <w:bidi/>
        <w:rPr>
          <w:b/>
          <w:bCs/>
        </w:rPr>
      </w:pPr>
      <w:proofErr w:type="spellStart"/>
      <w:r w:rsidRPr="0018338B">
        <w:rPr>
          <w:b/>
          <w:bCs/>
          <w:rtl/>
        </w:rPr>
        <w:t>הפטובלסטומה</w:t>
      </w:r>
      <w:proofErr w:type="spellEnd"/>
      <w:r w:rsidRPr="0018338B">
        <w:rPr>
          <w:b/>
          <w:bCs/>
          <w:rtl/>
        </w:rPr>
        <w:t xml:space="preserve"> עם גרורות </w:t>
      </w:r>
      <w:proofErr w:type="spellStart"/>
      <w:r w:rsidRPr="0018338B">
        <w:rPr>
          <w:b/>
          <w:bCs/>
          <w:rtl/>
        </w:rPr>
        <w:t>ריאתיות</w:t>
      </w:r>
      <w:proofErr w:type="spellEnd"/>
      <w:r w:rsidRPr="0018338B">
        <w:rPr>
          <w:b/>
          <w:bCs/>
          <w:rtl/>
        </w:rPr>
        <w:t xml:space="preserve"> נרחבות: מספר הגרורות אינו בהכרח קובע שהמחלה אינה </w:t>
      </w:r>
      <w:proofErr w:type="spellStart"/>
      <w:r w:rsidRPr="0018338B">
        <w:rPr>
          <w:b/>
          <w:bCs/>
          <w:rtl/>
        </w:rPr>
        <w:t>בת־ריפוי</w:t>
      </w:r>
      <w:proofErr w:type="spellEnd"/>
    </w:p>
    <w:p w14:paraId="72D0DF3C" w14:textId="322479EF" w:rsidR="0018338B" w:rsidRPr="0018338B" w:rsidRDefault="0018338B" w:rsidP="0018338B">
      <w:pPr>
        <w:bidi/>
      </w:pPr>
      <w:r w:rsidRPr="0018338B">
        <w:rPr>
          <w:rtl/>
        </w:rPr>
        <w:t>המאמר פורסם ביוני 2026 ב־</w:t>
      </w:r>
      <w:r w:rsidRPr="0018338B">
        <w:rPr>
          <w:i/>
          <w:iCs/>
        </w:rPr>
        <w:t>Journal of Pediatric Surgery</w:t>
      </w:r>
      <w:r w:rsidRPr="0018338B">
        <w:t xml:space="preserve"> </w:t>
      </w:r>
      <w:r w:rsidR="00653540">
        <w:rPr>
          <w:rFonts w:hint="cs"/>
          <w:rtl/>
        </w:rPr>
        <w:t xml:space="preserve"> </w:t>
      </w:r>
      <w:r w:rsidRPr="0018338B">
        <w:rPr>
          <w:rtl/>
        </w:rPr>
        <w:t>על ידי</w:t>
      </w:r>
      <w:r w:rsidRPr="0018338B">
        <w:t xml:space="preserve"> Polites </w:t>
      </w:r>
      <w:r w:rsidRPr="0018338B">
        <w:rPr>
          <w:rtl/>
        </w:rPr>
        <w:t>ועמיתיו. כותרתו</w:t>
      </w:r>
      <w:r w:rsidRPr="0018338B">
        <w:t>:</w:t>
      </w:r>
    </w:p>
    <w:p w14:paraId="52110678" w14:textId="77777777" w:rsidR="0018338B" w:rsidRPr="0018338B" w:rsidRDefault="0018338B" w:rsidP="0018338B">
      <w:pPr>
        <w:bidi/>
      </w:pPr>
      <w:r w:rsidRPr="0018338B">
        <w:rPr>
          <w:b/>
          <w:bCs/>
        </w:rPr>
        <w:t>Survival in children with hepatoblastoma and pulmonary metastatic disease at diagnosis based on extent of metastases and need for surgical clearance.</w:t>
      </w:r>
    </w:p>
    <w:p w14:paraId="7232053A" w14:textId="77777777" w:rsidR="0018338B" w:rsidRPr="0018338B" w:rsidRDefault="0018338B" w:rsidP="0018338B">
      <w:pPr>
        <w:bidi/>
      </w:pPr>
      <w:r w:rsidRPr="0018338B">
        <w:rPr>
          <w:rtl/>
        </w:rPr>
        <w:t>הציטוט המלא</w:t>
      </w:r>
      <w:r w:rsidRPr="0018338B">
        <w:t>:</w:t>
      </w:r>
      <w:r w:rsidRPr="0018338B">
        <w:br/>
        <w:t xml:space="preserve">Polites SF, Vierkant RA, Aldrink JH, et al. </w:t>
      </w:r>
      <w:r w:rsidRPr="0018338B">
        <w:rPr>
          <w:i/>
          <w:iCs/>
        </w:rPr>
        <w:t>J Pediatr Surg.</w:t>
      </w:r>
      <w:r w:rsidRPr="0018338B">
        <w:t xml:space="preserve"> 2026;61:163034. doi:10.1016/j.jpedsurg.2026.163034. </w:t>
      </w:r>
      <w:r w:rsidRPr="0018338B">
        <w:fldChar w:fldCharType="begin"/>
      </w:r>
      <w:r w:rsidRPr="0018338B">
        <w:instrText>HYPERLINK "https://www.sciencedirect.com/science/article/pii/S002234682600117X?utm_source=chatgpt.com" \t "_new"</w:instrText>
      </w:r>
      <w:r w:rsidRPr="0018338B">
        <w:fldChar w:fldCharType="separate"/>
      </w:r>
      <w:r w:rsidRPr="0018338B">
        <w:rPr>
          <w:rStyle w:val="Hyperlink"/>
          <w:rtl/>
        </w:rPr>
        <w:t>קישור למאמר</w:t>
      </w:r>
      <w:r w:rsidRPr="0018338B">
        <w:fldChar w:fldCharType="end"/>
      </w:r>
    </w:p>
    <w:p w14:paraId="03FF87E5" w14:textId="77777777" w:rsidR="0018338B" w:rsidRPr="0018338B" w:rsidRDefault="0018338B" w:rsidP="0018338B">
      <w:pPr>
        <w:bidi/>
      </w:pPr>
      <w:r w:rsidRPr="0018338B">
        <w:rPr>
          <w:rtl/>
        </w:rPr>
        <w:t xml:space="preserve">המאמר פורסם מחוץ לחלון של שמונת השבועות האחרונים, אך נבחר משום שהוא עוסק בשאלה </w:t>
      </w:r>
      <w:proofErr w:type="spellStart"/>
      <w:r w:rsidRPr="0018338B">
        <w:rPr>
          <w:rtl/>
        </w:rPr>
        <w:t>אונקולוגית־כירורגית</w:t>
      </w:r>
      <w:proofErr w:type="spellEnd"/>
      <w:r w:rsidRPr="0018338B">
        <w:rPr>
          <w:rtl/>
        </w:rPr>
        <w:t xml:space="preserve"> בעלת משמעות טיפולית ברורה</w:t>
      </w:r>
      <w:r w:rsidRPr="0018338B">
        <w:t>.</w:t>
      </w:r>
    </w:p>
    <w:p w14:paraId="7D0D1F66" w14:textId="77777777" w:rsidR="0018338B" w:rsidRPr="0018338B" w:rsidRDefault="0018338B" w:rsidP="0018338B">
      <w:pPr>
        <w:bidi/>
        <w:rPr>
          <w:b/>
          <w:bCs/>
        </w:rPr>
      </w:pPr>
      <w:r w:rsidRPr="0018338B">
        <w:rPr>
          <w:b/>
          <w:bCs/>
          <w:rtl/>
        </w:rPr>
        <w:t>מה היה הרקע</w:t>
      </w:r>
      <w:r w:rsidRPr="0018338B">
        <w:rPr>
          <w:b/>
          <w:bCs/>
        </w:rPr>
        <w:t>?</w:t>
      </w:r>
    </w:p>
    <w:p w14:paraId="7B7A89A2" w14:textId="77777777" w:rsidR="0018338B" w:rsidRPr="0018338B" w:rsidRDefault="0018338B" w:rsidP="0018338B">
      <w:pPr>
        <w:bidi/>
      </w:pPr>
      <w:r w:rsidRPr="0018338B">
        <w:rPr>
          <w:rtl/>
        </w:rPr>
        <w:t xml:space="preserve">הטיפול המרפא </w:t>
      </w:r>
      <w:proofErr w:type="spellStart"/>
      <w:r w:rsidRPr="0018338B">
        <w:rPr>
          <w:rtl/>
        </w:rPr>
        <w:t>בהפטובלסטומה</w:t>
      </w:r>
      <w:proofErr w:type="spellEnd"/>
      <w:r w:rsidRPr="0018338B">
        <w:rPr>
          <w:rtl/>
        </w:rPr>
        <w:t xml:space="preserve"> מבוסס על שילוב של כימותרפיה וכריתה מלאה של הגידול בכבד, באמצעות כריתה </w:t>
      </w:r>
      <w:proofErr w:type="spellStart"/>
      <w:r w:rsidRPr="0018338B">
        <w:rPr>
          <w:rtl/>
        </w:rPr>
        <w:t>כבדית</w:t>
      </w:r>
      <w:proofErr w:type="spellEnd"/>
      <w:r w:rsidRPr="0018338B">
        <w:rPr>
          <w:rtl/>
        </w:rPr>
        <w:t xml:space="preserve"> או השתלת כבד. כאשר קיימות גרורות </w:t>
      </w:r>
      <w:proofErr w:type="spellStart"/>
      <w:r w:rsidRPr="0018338B">
        <w:rPr>
          <w:rtl/>
        </w:rPr>
        <w:t>ריאתיות</w:t>
      </w:r>
      <w:proofErr w:type="spellEnd"/>
      <w:r w:rsidRPr="0018338B">
        <w:rPr>
          <w:rtl/>
        </w:rPr>
        <w:t xml:space="preserve"> בזמן האבחנה, ההחלטה נעשית מורכבת יותר</w:t>
      </w:r>
      <w:r w:rsidRPr="0018338B">
        <w:t>.</w:t>
      </w:r>
    </w:p>
    <w:p w14:paraId="26FEF62D" w14:textId="77777777" w:rsidR="0018338B" w:rsidRPr="0018338B" w:rsidRDefault="0018338B" w:rsidP="0018338B">
      <w:pPr>
        <w:bidi/>
      </w:pPr>
      <w:r w:rsidRPr="0018338B">
        <w:rPr>
          <w:rtl/>
        </w:rPr>
        <w:t xml:space="preserve">השאלות הן האם מחלה </w:t>
      </w:r>
      <w:proofErr w:type="spellStart"/>
      <w:r w:rsidRPr="0018338B">
        <w:rPr>
          <w:rtl/>
        </w:rPr>
        <w:t>ריאתית</w:t>
      </w:r>
      <w:proofErr w:type="spellEnd"/>
      <w:r w:rsidRPr="0018338B">
        <w:rPr>
          <w:rtl/>
        </w:rPr>
        <w:t xml:space="preserve"> נרחבת שוללת מסלול מרפא, האם יש מקום לכריתת גרורות שאינן נעלמות לאחר כימותרפיה, והאם ניתן להתקדם להשתלת כבד לאחר השגת ניקוי ריאתי</w:t>
      </w:r>
      <w:r w:rsidRPr="0018338B">
        <w:t>.</w:t>
      </w:r>
    </w:p>
    <w:p w14:paraId="1E36EC99" w14:textId="77777777" w:rsidR="0018338B" w:rsidRPr="0018338B" w:rsidRDefault="0018338B" w:rsidP="0018338B">
      <w:pPr>
        <w:bidi/>
      </w:pPr>
      <w:r w:rsidRPr="0018338B">
        <w:rPr>
          <w:rtl/>
        </w:rPr>
        <w:t>מספר רב מאוד של נגעים עלול ליצור רושם שהמחלה כבר מפושטת מכדי להצדיק טיפול אגרסיבי. עם זאת, ייתכן שהגורם החשוב אינו מספר הגרורות בתחילת הדרך, אלא הביולוגיה של המחלה והיכולת להגיע לניקוי מלא של הריאות</w:t>
      </w:r>
      <w:r w:rsidRPr="0018338B">
        <w:t>.</w:t>
      </w:r>
    </w:p>
    <w:p w14:paraId="3C1F71AA" w14:textId="77777777" w:rsidR="0018338B" w:rsidRPr="0018338B" w:rsidRDefault="0018338B" w:rsidP="0018338B">
      <w:pPr>
        <w:bidi/>
        <w:rPr>
          <w:b/>
          <w:bCs/>
        </w:rPr>
      </w:pPr>
      <w:r w:rsidRPr="0018338B">
        <w:rPr>
          <w:b/>
          <w:bCs/>
          <w:rtl/>
        </w:rPr>
        <w:t>מה המחקר בדק</w:t>
      </w:r>
      <w:r w:rsidRPr="0018338B">
        <w:rPr>
          <w:b/>
          <w:bCs/>
        </w:rPr>
        <w:t>?</w:t>
      </w:r>
    </w:p>
    <w:p w14:paraId="1D58568F" w14:textId="77777777" w:rsidR="0018338B" w:rsidRPr="0018338B" w:rsidRDefault="0018338B" w:rsidP="0018338B">
      <w:pPr>
        <w:bidi/>
      </w:pPr>
      <w:r w:rsidRPr="0018338B">
        <w:rPr>
          <w:rtl/>
        </w:rPr>
        <w:t xml:space="preserve">החוקרים ניתחו מאגר </w:t>
      </w:r>
      <w:proofErr w:type="spellStart"/>
      <w:r w:rsidRPr="0018338B">
        <w:rPr>
          <w:rtl/>
        </w:rPr>
        <w:t>רב־מרכזי</w:t>
      </w:r>
      <w:proofErr w:type="spellEnd"/>
      <w:r w:rsidRPr="0018338B">
        <w:rPr>
          <w:rtl/>
        </w:rPr>
        <w:t xml:space="preserve"> של 315 ילדים עם </w:t>
      </w:r>
      <w:proofErr w:type="spellStart"/>
      <w:r w:rsidRPr="0018338B">
        <w:rPr>
          <w:rtl/>
        </w:rPr>
        <w:t>הפטובלסטומה</w:t>
      </w:r>
      <w:proofErr w:type="spellEnd"/>
      <w:r w:rsidRPr="0018338B">
        <w:rPr>
          <w:rtl/>
        </w:rPr>
        <w:t xml:space="preserve">. ל־62 מהם היו גרורות </w:t>
      </w:r>
      <w:proofErr w:type="spellStart"/>
      <w:r w:rsidRPr="0018338B">
        <w:rPr>
          <w:rtl/>
        </w:rPr>
        <w:t>ריאתיות</w:t>
      </w:r>
      <w:proofErr w:type="spellEnd"/>
      <w:r w:rsidRPr="0018338B">
        <w:rPr>
          <w:rtl/>
        </w:rPr>
        <w:t xml:space="preserve"> בזמן האבחנה</w:t>
      </w:r>
      <w:r w:rsidRPr="0018338B">
        <w:t>.</w:t>
      </w:r>
    </w:p>
    <w:p w14:paraId="60FD7095" w14:textId="77777777" w:rsidR="0018338B" w:rsidRPr="0018338B" w:rsidRDefault="0018338B" w:rsidP="0018338B">
      <w:pPr>
        <w:bidi/>
      </w:pPr>
      <w:r w:rsidRPr="0018338B">
        <w:rPr>
          <w:rtl/>
        </w:rPr>
        <w:t xml:space="preserve">מחלה </w:t>
      </w:r>
      <w:proofErr w:type="spellStart"/>
      <w:r w:rsidRPr="0018338B">
        <w:rPr>
          <w:rtl/>
        </w:rPr>
        <w:t>ריאתית</w:t>
      </w:r>
      <w:proofErr w:type="spellEnd"/>
      <w:r w:rsidRPr="0018338B">
        <w:rPr>
          <w:rtl/>
        </w:rPr>
        <w:t xml:space="preserve"> נרחבת הוגדרה כנוכחות של יותר מעשר גרורות. 23 מתוך 62 הילדים, כלומר 37%, עמדו בהגדרה הזאת</w:t>
      </w:r>
      <w:r w:rsidRPr="0018338B">
        <w:t>.</w:t>
      </w:r>
    </w:p>
    <w:p w14:paraId="75D4ECA7" w14:textId="483EABF9" w:rsidR="0018338B" w:rsidRPr="0018338B" w:rsidRDefault="0018338B" w:rsidP="0018338B">
      <w:pPr>
        <w:bidi/>
      </w:pPr>
      <w:r w:rsidRPr="0018338B">
        <w:rPr>
          <w:rtl/>
        </w:rPr>
        <w:t xml:space="preserve">נבדקו היקף המחלה </w:t>
      </w:r>
      <w:proofErr w:type="spellStart"/>
      <w:r w:rsidRPr="0018338B">
        <w:rPr>
          <w:rtl/>
        </w:rPr>
        <w:t>הריאתית</w:t>
      </w:r>
      <w:proofErr w:type="spellEnd"/>
      <w:r w:rsidRPr="0018338B">
        <w:rPr>
          <w:rtl/>
        </w:rPr>
        <w:t>, התגובה לכימותרפיה, הצורך ב־</w:t>
      </w:r>
      <w:r w:rsidR="00653540">
        <w:rPr>
          <w:rFonts w:hint="cs"/>
          <w:rtl/>
        </w:rPr>
        <w:t xml:space="preserve"> </w:t>
      </w:r>
      <w:r w:rsidRPr="0018338B">
        <w:t>metastasectomy</w:t>
      </w:r>
      <w:r w:rsidR="00653540">
        <w:rPr>
          <w:rFonts w:hint="cs"/>
          <w:rtl/>
        </w:rPr>
        <w:t xml:space="preserve"> </w:t>
      </w:r>
      <w:r w:rsidRPr="0018338B">
        <w:t xml:space="preserve"> </w:t>
      </w:r>
      <w:r w:rsidRPr="0018338B">
        <w:rPr>
          <w:rtl/>
        </w:rPr>
        <w:t>וההישרדות. החוקרים השוו בין ילדים עם יותר מעשר גרורות לבין ילדים עם עשר גרורות או פחות, וכן בין ניקוי ריאתי שהושג בכימותרפיה בלבד לבין ניקוי שהצריך גם ניתוח</w:t>
      </w:r>
      <w:r w:rsidRPr="0018338B">
        <w:t>.</w:t>
      </w:r>
    </w:p>
    <w:p w14:paraId="0487AB6C" w14:textId="77777777" w:rsidR="0018338B" w:rsidRPr="0018338B" w:rsidRDefault="0018338B" w:rsidP="0018338B">
      <w:pPr>
        <w:bidi/>
        <w:rPr>
          <w:b/>
          <w:bCs/>
        </w:rPr>
      </w:pPr>
      <w:r w:rsidRPr="0018338B">
        <w:rPr>
          <w:b/>
          <w:bCs/>
          <w:rtl/>
        </w:rPr>
        <w:t>מה היו התוצאות</w:t>
      </w:r>
      <w:r w:rsidRPr="0018338B">
        <w:rPr>
          <w:b/>
          <w:bCs/>
        </w:rPr>
        <w:t>?</w:t>
      </w:r>
    </w:p>
    <w:p w14:paraId="63C7FF29" w14:textId="77777777" w:rsidR="0018338B" w:rsidRPr="0018338B" w:rsidRDefault="0018338B" w:rsidP="0018338B">
      <w:pPr>
        <w:bidi/>
      </w:pPr>
      <w:r w:rsidRPr="0018338B">
        <w:rPr>
          <w:rtl/>
        </w:rPr>
        <w:t xml:space="preserve">ניקוי של המחלה </w:t>
      </w:r>
      <w:proofErr w:type="spellStart"/>
      <w:r w:rsidRPr="0018338B">
        <w:rPr>
          <w:rtl/>
        </w:rPr>
        <w:t>הריאתית</w:t>
      </w:r>
      <w:proofErr w:type="spellEnd"/>
      <w:r w:rsidRPr="0018338B">
        <w:rPr>
          <w:rtl/>
        </w:rPr>
        <w:t xml:space="preserve"> הושג ב־59 מתוך 62 הילדים</w:t>
      </w:r>
      <w:r w:rsidRPr="0018338B">
        <w:t>.</w:t>
      </w:r>
    </w:p>
    <w:p w14:paraId="0A94B931" w14:textId="77777777" w:rsidR="0018338B" w:rsidRPr="0018338B" w:rsidRDefault="0018338B" w:rsidP="0018338B">
      <w:pPr>
        <w:bidi/>
      </w:pPr>
      <w:r w:rsidRPr="0018338B">
        <w:rPr>
          <w:rtl/>
        </w:rPr>
        <w:t xml:space="preserve">אצל 32 ילדים, שהם 54% מהילדים שהגיעו לניקוי, הגרורות נעלמו באמצעות כימותרפיה בלבד. אצל 27 ילדים, שהם 46%, נדרשה גם כריתה כירורגית של גרורות </w:t>
      </w:r>
      <w:proofErr w:type="spellStart"/>
      <w:r w:rsidRPr="0018338B">
        <w:rPr>
          <w:rtl/>
        </w:rPr>
        <w:t>ריאתיות</w:t>
      </w:r>
      <w:proofErr w:type="spellEnd"/>
      <w:r w:rsidRPr="0018338B">
        <w:rPr>
          <w:rtl/>
        </w:rPr>
        <w:t xml:space="preserve"> שנותרו לאחר הטיפול</w:t>
      </w:r>
      <w:r w:rsidRPr="0018338B">
        <w:t>.</w:t>
      </w:r>
    </w:p>
    <w:p w14:paraId="0691327E" w14:textId="77777777" w:rsidR="0018338B" w:rsidRPr="0018338B" w:rsidRDefault="0018338B" w:rsidP="0018338B">
      <w:pPr>
        <w:bidi/>
      </w:pPr>
      <w:r w:rsidRPr="0018338B">
        <w:rPr>
          <w:rtl/>
        </w:rPr>
        <w:lastRenderedPageBreak/>
        <w:t xml:space="preserve">לא נמצא הבדל מובהק בהישרדות בין ילדים עם יותר מעשר גרורות לבין ילדים עם עשר גרורות או פחות. גם לא נמצא הבדל מובהק בין ילדים שהשיגו ניקוי בכימותרפיה בלבד לבין אלה שנזקקו לכימותרפיה </w:t>
      </w:r>
      <w:proofErr w:type="spellStart"/>
      <w:r w:rsidRPr="0018338B">
        <w:rPr>
          <w:rtl/>
        </w:rPr>
        <w:t>ול</w:t>
      </w:r>
      <w:proofErr w:type="spellEnd"/>
      <w:r w:rsidRPr="0018338B">
        <w:rPr>
          <w:rtl/>
        </w:rPr>
        <w:t>־</w:t>
      </w:r>
      <w:r w:rsidRPr="0018338B">
        <w:t>metastasectomy.</w:t>
      </w:r>
    </w:p>
    <w:p w14:paraId="0B4ACD44" w14:textId="77777777" w:rsidR="0018338B" w:rsidRPr="0018338B" w:rsidRDefault="0018338B" w:rsidP="0018338B">
      <w:pPr>
        <w:bidi/>
      </w:pPr>
      <w:r w:rsidRPr="0018338B">
        <w:rPr>
          <w:rtl/>
        </w:rPr>
        <w:t xml:space="preserve">מתוך 16 ילדים שנזקקו להשתלת כבד, כל הילדים שעברו ניקוי כירורגי של המחלה </w:t>
      </w:r>
      <w:proofErr w:type="spellStart"/>
      <w:r w:rsidRPr="0018338B">
        <w:rPr>
          <w:rtl/>
        </w:rPr>
        <w:t>הריאתית</w:t>
      </w:r>
      <w:proofErr w:type="spellEnd"/>
      <w:r w:rsidRPr="0018338B">
        <w:rPr>
          <w:rtl/>
        </w:rPr>
        <w:t xml:space="preserve"> היו בחיים בזמן המעקב האחרון</w:t>
      </w:r>
      <w:r w:rsidRPr="0018338B">
        <w:t>.</w:t>
      </w:r>
    </w:p>
    <w:p w14:paraId="4FB153BD" w14:textId="77777777" w:rsidR="0018338B" w:rsidRPr="0018338B" w:rsidRDefault="0018338B" w:rsidP="0018338B">
      <w:pPr>
        <w:bidi/>
        <w:rPr>
          <w:b/>
          <w:bCs/>
        </w:rPr>
      </w:pPr>
      <w:r w:rsidRPr="0018338B">
        <w:rPr>
          <w:b/>
          <w:bCs/>
          <w:rtl/>
        </w:rPr>
        <w:t>ה־</w:t>
      </w:r>
      <w:r w:rsidRPr="0018338B">
        <w:rPr>
          <w:b/>
          <w:bCs/>
        </w:rPr>
        <w:t>Take-home message</w:t>
      </w:r>
    </w:p>
    <w:p w14:paraId="60E64FAD" w14:textId="77777777" w:rsidR="0018338B" w:rsidRPr="0018338B" w:rsidRDefault="0018338B" w:rsidP="0018338B">
      <w:pPr>
        <w:bidi/>
      </w:pPr>
      <w:r w:rsidRPr="0018338B">
        <w:rPr>
          <w:b/>
          <w:bCs/>
          <w:rtl/>
        </w:rPr>
        <w:t xml:space="preserve">עומס גדול של גרורות </w:t>
      </w:r>
      <w:proofErr w:type="spellStart"/>
      <w:r w:rsidRPr="0018338B">
        <w:rPr>
          <w:b/>
          <w:bCs/>
          <w:rtl/>
        </w:rPr>
        <w:t>ריאתיות</w:t>
      </w:r>
      <w:proofErr w:type="spellEnd"/>
      <w:r w:rsidRPr="0018338B">
        <w:rPr>
          <w:b/>
          <w:bCs/>
          <w:rtl/>
        </w:rPr>
        <w:t xml:space="preserve"> בזמן אבחנת </w:t>
      </w:r>
      <w:proofErr w:type="spellStart"/>
      <w:r w:rsidRPr="0018338B">
        <w:rPr>
          <w:b/>
          <w:bCs/>
          <w:rtl/>
        </w:rPr>
        <w:t>הפטובלסטומה</w:t>
      </w:r>
      <w:proofErr w:type="spellEnd"/>
      <w:r w:rsidRPr="0018338B">
        <w:rPr>
          <w:b/>
          <w:bCs/>
          <w:rtl/>
        </w:rPr>
        <w:t xml:space="preserve"> אינו צריך לשלול אוטומטית טיפול בכוונת ריפוי; היכולת להשיג ניקוי מלא של הריאות חשובה יותר מספירת הנגעים לבדה</w:t>
      </w:r>
      <w:r w:rsidRPr="0018338B">
        <w:rPr>
          <w:b/>
          <w:bCs/>
        </w:rPr>
        <w:t>.</w:t>
      </w:r>
    </w:p>
    <w:p w14:paraId="7E8B8DC4" w14:textId="77777777" w:rsidR="0018338B" w:rsidRPr="0018338B" w:rsidRDefault="0018338B" w:rsidP="0018338B">
      <w:pPr>
        <w:bidi/>
      </w:pPr>
      <w:r w:rsidRPr="0018338B">
        <w:rPr>
          <w:rtl/>
        </w:rPr>
        <w:t>הממצא אינו מוכיח שכריתת גרורות משפרת הישרדות. הוא תומך בכך שאין להכריז על חוסר נתיחות או חוסר תוחלת רק בשל מספר רב של גרורות, כאשר קיימת אפשרות סבירה להשיג ניקוי ריאתי באמצעות כימותרפיה, ניתוח או שילוב ביניהם</w:t>
      </w:r>
      <w:r w:rsidRPr="0018338B">
        <w:t>.</w:t>
      </w:r>
    </w:p>
    <w:p w14:paraId="4ACA83F3" w14:textId="77777777" w:rsidR="0018338B" w:rsidRPr="0018338B" w:rsidRDefault="0018338B" w:rsidP="0018338B">
      <w:pPr>
        <w:bidi/>
        <w:rPr>
          <w:b/>
          <w:bCs/>
        </w:rPr>
      </w:pPr>
      <w:r w:rsidRPr="0018338B">
        <w:rPr>
          <w:b/>
          <w:bCs/>
          <w:rtl/>
        </w:rPr>
        <w:t>חוזק הראיות והמגבלה העיקרית</w:t>
      </w:r>
    </w:p>
    <w:p w14:paraId="5634E2C2" w14:textId="77777777" w:rsidR="0018338B" w:rsidRPr="0018338B" w:rsidRDefault="0018338B" w:rsidP="0018338B">
      <w:pPr>
        <w:bidi/>
      </w:pPr>
      <w:r w:rsidRPr="0018338B">
        <w:rPr>
          <w:rtl/>
        </w:rPr>
        <w:t xml:space="preserve">החוזקה העיקרית היא מאגר </w:t>
      </w:r>
      <w:proofErr w:type="spellStart"/>
      <w:r w:rsidRPr="0018338B">
        <w:rPr>
          <w:rtl/>
        </w:rPr>
        <w:t>רב־מרכזי</w:t>
      </w:r>
      <w:proofErr w:type="spellEnd"/>
      <w:r w:rsidRPr="0018338B">
        <w:rPr>
          <w:rtl/>
        </w:rPr>
        <w:t xml:space="preserve"> במחלה נדירה, עם מידע על עומס הגרורות ועל אופן השגת הניקוי </w:t>
      </w:r>
      <w:proofErr w:type="spellStart"/>
      <w:r w:rsidRPr="0018338B">
        <w:rPr>
          <w:rtl/>
        </w:rPr>
        <w:t>הריאתי</w:t>
      </w:r>
      <w:proofErr w:type="spellEnd"/>
      <w:r w:rsidRPr="0018338B">
        <w:rPr>
          <w:rtl/>
        </w:rPr>
        <w:t>. המחקר מתמקד בשאלה כירורגית שלא ניתן לענות עליה בקלות באמצעות מחקר אקראי</w:t>
      </w:r>
      <w:r w:rsidRPr="0018338B">
        <w:t>.</w:t>
      </w:r>
    </w:p>
    <w:p w14:paraId="45EC1261" w14:textId="77777777" w:rsidR="0018338B" w:rsidRPr="0018338B" w:rsidRDefault="0018338B" w:rsidP="0018338B">
      <w:pPr>
        <w:bidi/>
      </w:pPr>
      <w:r w:rsidRPr="0018338B">
        <w:rPr>
          <w:rtl/>
        </w:rPr>
        <w:t>המגבלה המרכזית היא הטיית בחירה. ילדים שהצליחו להגיע לניקוי ריאתי, לניתוח כבד או להשתלה הם ככל הנראה גם אלה שמחלתם הייתה רגישה יותר לכימותרפיה ובעלת ביולוגיה טובה יותר. לכן לא ניתן להפריד בין השפעת הניתוח לבין מאפייני המחלה</w:t>
      </w:r>
      <w:r w:rsidRPr="0018338B">
        <w:t>.</w:t>
      </w:r>
    </w:p>
    <w:p w14:paraId="0C89EE48" w14:textId="77777777" w:rsidR="0018338B" w:rsidRPr="0018338B" w:rsidRDefault="0018338B" w:rsidP="0018338B">
      <w:pPr>
        <w:bidi/>
      </w:pPr>
      <w:r w:rsidRPr="0018338B">
        <w:rPr>
          <w:rtl/>
        </w:rPr>
        <w:t>מספר הילדים עם גרורות היה 62 בלבד, ומתוכם 23 עם יותר מעשרה נגעים. היעדר הבדל מובהק אינו מוכיח שקבוצות הסיכון שוות; ייתכן שהמחקר לא היה גדול מספיק כדי לזהות הבדל אמיתי</w:t>
      </w:r>
      <w:r w:rsidRPr="0018338B">
        <w:t>.</w:t>
      </w:r>
    </w:p>
    <w:p w14:paraId="2286E7DF" w14:textId="77777777" w:rsidR="0018338B" w:rsidRPr="0018338B" w:rsidRDefault="0018338B" w:rsidP="0018338B">
      <w:pPr>
        <w:bidi/>
        <w:rPr>
          <w:b/>
          <w:bCs/>
        </w:rPr>
      </w:pPr>
      <w:r w:rsidRPr="0018338B">
        <w:rPr>
          <w:b/>
          <w:bCs/>
          <w:rtl/>
        </w:rPr>
        <w:t>איך לקחת את זה הלאה</w:t>
      </w:r>
      <w:r w:rsidRPr="0018338B">
        <w:rPr>
          <w:b/>
          <w:bCs/>
        </w:rPr>
        <w:t>?</w:t>
      </w:r>
    </w:p>
    <w:p w14:paraId="2C7A13D4" w14:textId="77777777" w:rsidR="0018338B" w:rsidRPr="0018338B" w:rsidRDefault="0018338B" w:rsidP="0018338B">
      <w:pPr>
        <w:numPr>
          <w:ilvl w:val="0"/>
          <w:numId w:val="4"/>
        </w:numPr>
        <w:bidi/>
      </w:pPr>
      <w:r w:rsidRPr="0018338B">
        <w:rPr>
          <w:rtl/>
        </w:rPr>
        <w:t xml:space="preserve">לא לקבוע חוסר תוחלת על סמך מספר הגרורות </w:t>
      </w:r>
      <w:proofErr w:type="spellStart"/>
      <w:r w:rsidRPr="0018338B">
        <w:rPr>
          <w:rtl/>
        </w:rPr>
        <w:t>הריאתיות</w:t>
      </w:r>
      <w:proofErr w:type="spellEnd"/>
      <w:r w:rsidRPr="0018338B">
        <w:rPr>
          <w:rtl/>
        </w:rPr>
        <w:t xml:space="preserve"> בלבד</w:t>
      </w:r>
      <w:r w:rsidRPr="0018338B">
        <w:t xml:space="preserve">. </w:t>
      </w:r>
    </w:p>
    <w:p w14:paraId="6257803C" w14:textId="77777777" w:rsidR="0018338B" w:rsidRPr="0018338B" w:rsidRDefault="0018338B" w:rsidP="0018338B">
      <w:pPr>
        <w:numPr>
          <w:ilvl w:val="0"/>
          <w:numId w:val="4"/>
        </w:numPr>
        <w:bidi/>
      </w:pPr>
      <w:r w:rsidRPr="0018338B">
        <w:rPr>
          <w:rtl/>
        </w:rPr>
        <w:t>לדון מוקדם בכל מקרה יחד עם אונקולוגיה, כירורגיית חזה וצוות הכבד או ההשתלות</w:t>
      </w:r>
      <w:r w:rsidRPr="0018338B">
        <w:t xml:space="preserve">. </w:t>
      </w:r>
    </w:p>
    <w:p w14:paraId="51DF5DEE" w14:textId="77777777" w:rsidR="0018338B" w:rsidRPr="0018338B" w:rsidRDefault="0018338B" w:rsidP="0018338B">
      <w:pPr>
        <w:numPr>
          <w:ilvl w:val="0"/>
          <w:numId w:val="4"/>
        </w:numPr>
        <w:bidi/>
      </w:pPr>
      <w:r w:rsidRPr="0018338B">
        <w:rPr>
          <w:rtl/>
        </w:rPr>
        <w:t>לתעד פרוספקטיבית את נפח המחלה, תגובתה והפתולוגיה של הגרורות שנכרתו</w:t>
      </w:r>
      <w:r w:rsidRPr="0018338B">
        <w:t xml:space="preserve">. </w:t>
      </w:r>
    </w:p>
    <w:p w14:paraId="64976CE1" w14:textId="77777777" w:rsidR="00B75613" w:rsidRDefault="00B75613" w:rsidP="0018338B">
      <w:pPr>
        <w:bidi/>
      </w:pPr>
    </w:p>
    <w:sectPr w:rsidR="00B75613" w:rsidSect="009155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C701E5"/>
    <w:multiLevelType w:val="multilevel"/>
    <w:tmpl w:val="C90A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5526B"/>
    <w:multiLevelType w:val="multilevel"/>
    <w:tmpl w:val="2584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A2C66"/>
    <w:multiLevelType w:val="multilevel"/>
    <w:tmpl w:val="1852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FA09F0"/>
    <w:multiLevelType w:val="multilevel"/>
    <w:tmpl w:val="EDBE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644F0"/>
    <w:multiLevelType w:val="multilevel"/>
    <w:tmpl w:val="C7A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016114">
    <w:abstractNumId w:val="2"/>
  </w:num>
  <w:num w:numId="2" w16cid:durableId="391271298">
    <w:abstractNumId w:val="1"/>
  </w:num>
  <w:num w:numId="3" w16cid:durableId="2057774059">
    <w:abstractNumId w:val="3"/>
  </w:num>
  <w:num w:numId="4" w16cid:durableId="1667124818">
    <w:abstractNumId w:val="0"/>
  </w:num>
  <w:num w:numId="5" w16cid:durableId="107177748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8B"/>
    <w:rsid w:val="0018338B"/>
    <w:rsid w:val="0058274B"/>
    <w:rsid w:val="00653540"/>
    <w:rsid w:val="00915543"/>
    <w:rsid w:val="009269C6"/>
    <w:rsid w:val="00A836A7"/>
    <w:rsid w:val="00B34365"/>
    <w:rsid w:val="00B75613"/>
    <w:rsid w:val="00D64B8A"/>
    <w:rsid w:val="00EA37E3"/>
    <w:rsid w:val="00F7074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0E7F"/>
  <w15:chartTrackingRefBased/>
  <w15:docId w15:val="{9A850B1E-37ED-4C41-A49C-7D2D4E4E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38B"/>
    <w:rPr>
      <w:rFonts w:eastAsiaTheme="majorEastAsia" w:cstheme="majorBidi"/>
      <w:color w:val="272727" w:themeColor="text1" w:themeTint="D8"/>
    </w:rPr>
  </w:style>
  <w:style w:type="paragraph" w:styleId="Title">
    <w:name w:val="Title"/>
    <w:basedOn w:val="Normal"/>
    <w:next w:val="Normal"/>
    <w:link w:val="TitleChar"/>
    <w:uiPriority w:val="10"/>
    <w:qFormat/>
    <w:rsid w:val="00183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38B"/>
    <w:pPr>
      <w:spacing w:before="160"/>
      <w:jc w:val="center"/>
    </w:pPr>
    <w:rPr>
      <w:i/>
      <w:iCs/>
      <w:color w:val="404040" w:themeColor="text1" w:themeTint="BF"/>
    </w:rPr>
  </w:style>
  <w:style w:type="character" w:customStyle="1" w:styleId="QuoteChar">
    <w:name w:val="Quote Char"/>
    <w:basedOn w:val="DefaultParagraphFont"/>
    <w:link w:val="Quote"/>
    <w:uiPriority w:val="29"/>
    <w:rsid w:val="0018338B"/>
    <w:rPr>
      <w:i/>
      <w:iCs/>
      <w:color w:val="404040" w:themeColor="text1" w:themeTint="BF"/>
    </w:rPr>
  </w:style>
  <w:style w:type="paragraph" w:styleId="ListParagraph">
    <w:name w:val="List Paragraph"/>
    <w:basedOn w:val="Normal"/>
    <w:uiPriority w:val="34"/>
    <w:qFormat/>
    <w:rsid w:val="0018338B"/>
    <w:pPr>
      <w:ind w:left="720"/>
      <w:contextualSpacing/>
    </w:pPr>
  </w:style>
  <w:style w:type="character" w:styleId="IntenseEmphasis">
    <w:name w:val="Intense Emphasis"/>
    <w:basedOn w:val="DefaultParagraphFont"/>
    <w:uiPriority w:val="21"/>
    <w:qFormat/>
    <w:rsid w:val="0018338B"/>
    <w:rPr>
      <w:i/>
      <w:iCs/>
      <w:color w:val="0F4761" w:themeColor="accent1" w:themeShade="BF"/>
    </w:rPr>
  </w:style>
  <w:style w:type="paragraph" w:styleId="IntenseQuote">
    <w:name w:val="Intense Quote"/>
    <w:basedOn w:val="Normal"/>
    <w:next w:val="Normal"/>
    <w:link w:val="IntenseQuoteChar"/>
    <w:uiPriority w:val="30"/>
    <w:qFormat/>
    <w:rsid w:val="00183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38B"/>
    <w:rPr>
      <w:i/>
      <w:iCs/>
      <w:color w:val="0F4761" w:themeColor="accent1" w:themeShade="BF"/>
    </w:rPr>
  </w:style>
  <w:style w:type="character" w:styleId="IntenseReference">
    <w:name w:val="Intense Reference"/>
    <w:basedOn w:val="DefaultParagraphFont"/>
    <w:uiPriority w:val="32"/>
    <w:qFormat/>
    <w:rsid w:val="0018338B"/>
    <w:rPr>
      <w:b/>
      <w:bCs/>
      <w:smallCaps/>
      <w:color w:val="0F4761" w:themeColor="accent1" w:themeShade="BF"/>
      <w:spacing w:val="5"/>
    </w:rPr>
  </w:style>
  <w:style w:type="character" w:styleId="Hyperlink">
    <w:name w:val="Hyperlink"/>
    <w:basedOn w:val="DefaultParagraphFont"/>
    <w:uiPriority w:val="99"/>
    <w:unhideWhenUsed/>
    <w:rsid w:val="0018338B"/>
    <w:rPr>
      <w:color w:val="467886" w:themeColor="hyperlink"/>
      <w:u w:val="single"/>
    </w:rPr>
  </w:style>
  <w:style w:type="character" w:styleId="UnresolvedMention">
    <w:name w:val="Unresolved Mention"/>
    <w:basedOn w:val="DefaultParagraphFont"/>
    <w:uiPriority w:val="99"/>
    <w:semiHidden/>
    <w:unhideWhenUsed/>
    <w:rsid w:val="00183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2491</Words>
  <Characters>13282</Characters>
  <Application>Microsoft Office Word</Application>
  <DocSecurity>0</DocSecurity>
  <Lines>260</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יעל דרזניק</dc:creator>
  <cp:keywords/>
  <dc:description/>
  <cp:lastModifiedBy>יעל דרזניק</cp:lastModifiedBy>
  <cp:revision>1</cp:revision>
  <dcterms:created xsi:type="dcterms:W3CDTF">2026-09-05T12:51:00Z</dcterms:created>
  <dcterms:modified xsi:type="dcterms:W3CDTF">2026-09-05T13:08:00Z</dcterms:modified>
</cp:coreProperties>
</file>